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896FB" w14:textId="77777777" w:rsidR="006477FA" w:rsidRDefault="006477FA" w:rsidP="006477FA">
      <w:pPr>
        <w:spacing w:after="0" w:line="271" w:lineRule="auto"/>
        <w:jc w:val="center"/>
        <w:rPr>
          <w:rFonts w:ascii="Tahoma" w:hAnsi="Tahoma" w:cs="Tahoma"/>
          <w:b/>
          <w:sz w:val="20"/>
          <w:szCs w:val="20"/>
        </w:rPr>
      </w:pPr>
    </w:p>
    <w:p w14:paraId="6A8A78C7" w14:textId="77777777" w:rsidR="006477FA" w:rsidRDefault="006477FA" w:rsidP="006477FA">
      <w:pPr>
        <w:spacing w:after="0" w:line="271" w:lineRule="auto"/>
        <w:jc w:val="center"/>
        <w:rPr>
          <w:rFonts w:ascii="Tahoma" w:hAnsi="Tahoma" w:cs="Tahoma"/>
          <w:b/>
          <w:sz w:val="20"/>
          <w:szCs w:val="20"/>
        </w:rPr>
      </w:pPr>
    </w:p>
    <w:p w14:paraId="69CFABAB" w14:textId="7E580158" w:rsidR="006324E5" w:rsidRPr="006324E5" w:rsidRDefault="006324E5" w:rsidP="00D52126">
      <w:pPr>
        <w:spacing w:after="0" w:line="271" w:lineRule="auto"/>
        <w:rPr>
          <w:rFonts w:ascii="Tahoma" w:hAnsi="Tahoma" w:cs="Tahoma"/>
          <w:b/>
          <w:sz w:val="24"/>
          <w:szCs w:val="20"/>
        </w:rPr>
      </w:pPr>
      <w:r w:rsidRPr="006324E5">
        <w:rPr>
          <w:rFonts w:ascii="Tahoma" w:hAnsi="Tahoma" w:cs="Tahoma"/>
          <w:b/>
          <w:sz w:val="24"/>
          <w:szCs w:val="20"/>
        </w:rPr>
        <w:t xml:space="preserve">Arbitrariedad </w:t>
      </w:r>
      <w:bookmarkStart w:id="0" w:name="_GoBack"/>
      <w:bookmarkEnd w:id="0"/>
      <w:r w:rsidRPr="006324E5">
        <w:rPr>
          <w:rFonts w:ascii="Tahoma" w:hAnsi="Tahoma" w:cs="Tahoma"/>
          <w:b/>
          <w:sz w:val="24"/>
          <w:szCs w:val="20"/>
        </w:rPr>
        <w:t>en el Anteproyecto de ley del Impuesto de Servicios Digitales</w:t>
      </w:r>
    </w:p>
    <w:p w14:paraId="508FD6EA" w14:textId="5EF9A300" w:rsidR="00C43293" w:rsidRDefault="00C43293" w:rsidP="00D52126">
      <w:pPr>
        <w:spacing w:after="0" w:line="271" w:lineRule="auto"/>
        <w:rPr>
          <w:rFonts w:ascii="Tahoma" w:hAnsi="Tahoma" w:cs="Tahoma"/>
          <w:b/>
          <w:sz w:val="20"/>
          <w:szCs w:val="20"/>
        </w:rPr>
      </w:pPr>
    </w:p>
    <w:p w14:paraId="35F9160D" w14:textId="77777777" w:rsidR="00C43293" w:rsidRDefault="00C43293" w:rsidP="006477FA">
      <w:pPr>
        <w:spacing w:after="0" w:line="271" w:lineRule="auto"/>
        <w:jc w:val="center"/>
        <w:rPr>
          <w:rFonts w:ascii="Tahoma" w:hAnsi="Tahoma" w:cs="Tahoma"/>
          <w:b/>
          <w:sz w:val="20"/>
          <w:szCs w:val="20"/>
        </w:rPr>
      </w:pPr>
    </w:p>
    <w:p w14:paraId="4890F9CA" w14:textId="77777777" w:rsidR="00D52126" w:rsidRDefault="00D52126" w:rsidP="00A51FF4">
      <w:pPr>
        <w:spacing w:after="0" w:line="271" w:lineRule="auto"/>
        <w:jc w:val="both"/>
        <w:rPr>
          <w:rFonts w:ascii="Tahoma" w:eastAsia="Tahoma" w:hAnsi="Tahoma" w:cs="Tahoma"/>
          <w:sz w:val="20"/>
          <w:szCs w:val="20"/>
        </w:rPr>
      </w:pPr>
      <w:r>
        <w:rPr>
          <w:rFonts w:ascii="Tahoma" w:eastAsia="Tahoma" w:hAnsi="Tahoma" w:cs="Tahoma"/>
          <w:sz w:val="20"/>
          <w:szCs w:val="20"/>
        </w:rPr>
        <w:t>Madrid, 19 de noviembre 2018</w:t>
      </w:r>
    </w:p>
    <w:p w14:paraId="2BE1FF46" w14:textId="77777777" w:rsidR="00D52126" w:rsidRDefault="00D52126" w:rsidP="00A51FF4">
      <w:pPr>
        <w:spacing w:after="0" w:line="271" w:lineRule="auto"/>
        <w:jc w:val="both"/>
        <w:rPr>
          <w:rFonts w:ascii="Tahoma" w:eastAsia="Tahoma" w:hAnsi="Tahoma" w:cs="Tahoma"/>
          <w:sz w:val="20"/>
          <w:szCs w:val="20"/>
        </w:rPr>
      </w:pPr>
    </w:p>
    <w:p w14:paraId="70F688B6" w14:textId="7597BA5D" w:rsidR="004A1A0C" w:rsidRDefault="00D52126" w:rsidP="00A51FF4">
      <w:pPr>
        <w:spacing w:after="0" w:line="271" w:lineRule="auto"/>
        <w:jc w:val="both"/>
        <w:rPr>
          <w:rFonts w:ascii="Tahoma" w:eastAsia="Tahoma" w:hAnsi="Tahoma" w:cs="Tahoma"/>
          <w:sz w:val="20"/>
          <w:szCs w:val="20"/>
        </w:rPr>
      </w:pPr>
      <w:r w:rsidRPr="000D2BFC">
        <w:rPr>
          <w:rFonts w:ascii="Tahoma" w:hAnsi="Tahoma" w:cs="Tahoma"/>
          <w:sz w:val="20"/>
          <w:szCs w:val="20"/>
        </w:rPr>
        <w:t>Recientemente hemos conocido que Europa ha decidido posponer hasta 2020</w:t>
      </w:r>
      <w:r w:rsidRPr="000D2BFC">
        <w:rPr>
          <w:rFonts w:ascii="Tahoma" w:eastAsia="Tahoma" w:hAnsi="Tahoma" w:cs="Tahoma"/>
          <w:sz w:val="20"/>
          <w:szCs w:val="20"/>
        </w:rPr>
        <w:t xml:space="preserve"> la entrada en vigor de la Directiva para la creación del impuesto a determinados servicios (ISD), buscando un mayor consenso en el seno de la UE. Por su parte, el Gobierno español ha cerrado ya el plazo de alegaciones a su Anteproyecto de ley para este impuesto, que nace con el objetivo de </w:t>
      </w:r>
      <w:r w:rsidRPr="000D2BFC">
        <w:rPr>
          <w:rFonts w:ascii="Tahoma" w:hAnsi="Tahoma" w:cs="Tahoma"/>
          <w:sz w:val="20"/>
          <w:szCs w:val="20"/>
        </w:rPr>
        <w:t>paliar los efectos de la erosión fiscal motivada por la deslocalización de la actividad de la economía digital</w:t>
      </w:r>
      <w:r>
        <w:rPr>
          <w:rFonts w:ascii="Tahoma" w:hAnsi="Tahoma" w:cs="Tahoma"/>
          <w:sz w:val="20"/>
          <w:szCs w:val="20"/>
        </w:rPr>
        <w:t xml:space="preserve">. </w:t>
      </w:r>
      <w:r w:rsidR="0085552B">
        <w:rPr>
          <w:rFonts w:ascii="Tahoma" w:eastAsia="Tahoma" w:hAnsi="Tahoma" w:cs="Tahoma"/>
          <w:sz w:val="20"/>
          <w:szCs w:val="20"/>
        </w:rPr>
        <w:t>Un impue</w:t>
      </w:r>
      <w:r w:rsidR="004A1A0C">
        <w:rPr>
          <w:rFonts w:ascii="Tahoma" w:eastAsia="Tahoma" w:hAnsi="Tahoma" w:cs="Tahoma"/>
          <w:sz w:val="20"/>
          <w:szCs w:val="20"/>
        </w:rPr>
        <w:t>s</w:t>
      </w:r>
      <w:r w:rsidR="0085552B">
        <w:rPr>
          <w:rFonts w:ascii="Tahoma" w:eastAsia="Tahoma" w:hAnsi="Tahoma" w:cs="Tahoma"/>
          <w:sz w:val="20"/>
          <w:szCs w:val="20"/>
        </w:rPr>
        <w:t xml:space="preserve">to para establecer un </w:t>
      </w:r>
      <w:r w:rsidR="0085552B" w:rsidRPr="006324E5">
        <w:rPr>
          <w:rFonts w:ascii="Tahoma" w:eastAsia="Tahoma" w:hAnsi="Tahoma" w:cs="Tahoma"/>
          <w:b/>
          <w:sz w:val="20"/>
          <w:szCs w:val="20"/>
        </w:rPr>
        <w:t>gravamen del 3%</w:t>
      </w:r>
      <w:r w:rsidR="0085552B">
        <w:rPr>
          <w:rFonts w:ascii="Tahoma" w:eastAsia="Tahoma" w:hAnsi="Tahoma" w:cs="Tahoma"/>
          <w:sz w:val="20"/>
          <w:szCs w:val="20"/>
        </w:rPr>
        <w:t xml:space="preserve"> sobre aquellos servicios digitales ofrecidos en los países comunitarios independientemente de la </w:t>
      </w:r>
      <w:r w:rsidR="004A1A0C">
        <w:rPr>
          <w:rFonts w:ascii="Tahoma" w:eastAsia="Tahoma" w:hAnsi="Tahoma" w:cs="Tahoma"/>
          <w:sz w:val="20"/>
          <w:szCs w:val="20"/>
        </w:rPr>
        <w:t>localización</w:t>
      </w:r>
      <w:r w:rsidR="0085552B">
        <w:rPr>
          <w:rFonts w:ascii="Tahoma" w:eastAsia="Tahoma" w:hAnsi="Tahoma" w:cs="Tahoma"/>
          <w:sz w:val="20"/>
          <w:szCs w:val="20"/>
        </w:rPr>
        <w:t xml:space="preserve"> de las empresas prestatarias. </w:t>
      </w:r>
    </w:p>
    <w:p w14:paraId="424F7206" w14:textId="7EA06ACC" w:rsidR="004A1A0C" w:rsidRDefault="004A1A0C" w:rsidP="00A51FF4">
      <w:pPr>
        <w:spacing w:after="0" w:line="271" w:lineRule="auto"/>
        <w:jc w:val="both"/>
        <w:rPr>
          <w:rFonts w:ascii="Tahoma" w:eastAsia="Tahoma" w:hAnsi="Tahoma" w:cs="Tahoma"/>
          <w:sz w:val="20"/>
          <w:szCs w:val="20"/>
        </w:rPr>
      </w:pPr>
    </w:p>
    <w:p w14:paraId="6B2E2253" w14:textId="5DCC369D" w:rsidR="004A1A0C" w:rsidRDefault="004A1A0C" w:rsidP="00A51FF4">
      <w:pPr>
        <w:spacing w:after="0" w:line="271" w:lineRule="auto"/>
        <w:jc w:val="both"/>
        <w:rPr>
          <w:rFonts w:ascii="Tahoma" w:eastAsia="Tahoma" w:hAnsi="Tahoma" w:cs="Tahoma"/>
          <w:sz w:val="20"/>
          <w:szCs w:val="20"/>
        </w:rPr>
      </w:pPr>
      <w:r>
        <w:rPr>
          <w:rFonts w:ascii="Tahoma" w:eastAsia="Tahoma" w:hAnsi="Tahoma" w:cs="Tahoma"/>
          <w:sz w:val="20"/>
          <w:szCs w:val="20"/>
        </w:rPr>
        <w:t>En este nuevo escenario</w:t>
      </w:r>
      <w:r w:rsidR="00D52126">
        <w:rPr>
          <w:rFonts w:ascii="Tahoma" w:eastAsia="Tahoma" w:hAnsi="Tahoma" w:cs="Tahoma"/>
          <w:sz w:val="20"/>
          <w:szCs w:val="20"/>
        </w:rPr>
        <w:t xml:space="preserve"> europeo</w:t>
      </w:r>
      <w:r>
        <w:rPr>
          <w:rFonts w:ascii="Tahoma" w:eastAsia="Tahoma" w:hAnsi="Tahoma" w:cs="Tahoma"/>
          <w:sz w:val="20"/>
          <w:szCs w:val="20"/>
        </w:rPr>
        <w:t xml:space="preserve">, España se queda sola en la tramitación de este </w:t>
      </w:r>
      <w:r w:rsidR="006324E5">
        <w:rPr>
          <w:rFonts w:ascii="Tahoma" w:eastAsia="Tahoma" w:hAnsi="Tahoma" w:cs="Tahoma"/>
          <w:sz w:val="20"/>
          <w:szCs w:val="20"/>
        </w:rPr>
        <w:t>impuesto</w:t>
      </w:r>
      <w:r>
        <w:rPr>
          <w:rFonts w:ascii="Tahoma" w:eastAsia="Tahoma" w:hAnsi="Tahoma" w:cs="Tahoma"/>
          <w:sz w:val="20"/>
          <w:szCs w:val="20"/>
        </w:rPr>
        <w:t xml:space="preserve"> que ya no responde ni al consenso ni a la urgencia que la Unión preveía en su momento. Desde la patronal </w:t>
      </w:r>
      <w:proofErr w:type="spellStart"/>
      <w:r>
        <w:rPr>
          <w:rFonts w:ascii="Tahoma" w:eastAsia="Tahoma" w:hAnsi="Tahoma" w:cs="Tahoma"/>
          <w:sz w:val="20"/>
          <w:szCs w:val="20"/>
        </w:rPr>
        <w:t>DigitalES</w:t>
      </w:r>
      <w:proofErr w:type="spellEnd"/>
      <w:r>
        <w:rPr>
          <w:rFonts w:ascii="Tahoma" w:eastAsia="Tahoma" w:hAnsi="Tahoma" w:cs="Tahoma"/>
          <w:sz w:val="20"/>
          <w:szCs w:val="20"/>
        </w:rPr>
        <w:t xml:space="preserve"> y las empresas que formamos parte de </w:t>
      </w:r>
      <w:proofErr w:type="gramStart"/>
      <w:r>
        <w:rPr>
          <w:rFonts w:ascii="Tahoma" w:eastAsia="Tahoma" w:hAnsi="Tahoma" w:cs="Tahoma"/>
          <w:sz w:val="20"/>
          <w:szCs w:val="20"/>
        </w:rPr>
        <w:t>la misma</w:t>
      </w:r>
      <w:proofErr w:type="gramEnd"/>
      <w:r w:rsidR="006324E5">
        <w:rPr>
          <w:rFonts w:ascii="Tahoma" w:eastAsia="Tahoma" w:hAnsi="Tahoma" w:cs="Tahoma"/>
          <w:sz w:val="20"/>
          <w:szCs w:val="20"/>
        </w:rPr>
        <w:t>,</w:t>
      </w:r>
      <w:r>
        <w:rPr>
          <w:rFonts w:ascii="Tahoma" w:eastAsia="Tahoma" w:hAnsi="Tahoma" w:cs="Tahoma"/>
          <w:sz w:val="20"/>
          <w:szCs w:val="20"/>
        </w:rPr>
        <w:t xml:space="preserve"> siempre hemos estado de acuerdo en que las empresas tributen allí donde se generan los ingresos. Sin embargo, la creación de un impuesto para asegurar este principio en la economía digital no puede suponer gravar doblemente a aquellas empresas que ya están tributando por sus ingresos en nuestro país.</w:t>
      </w:r>
    </w:p>
    <w:p w14:paraId="6F5764E9" w14:textId="06C73F26" w:rsidR="004A1A0C" w:rsidRDefault="004A1A0C" w:rsidP="00A51FF4">
      <w:pPr>
        <w:spacing w:after="0" w:line="271" w:lineRule="auto"/>
        <w:jc w:val="both"/>
        <w:rPr>
          <w:rFonts w:ascii="Tahoma" w:eastAsia="Tahoma" w:hAnsi="Tahoma" w:cs="Tahoma"/>
          <w:sz w:val="20"/>
          <w:szCs w:val="20"/>
        </w:rPr>
      </w:pPr>
    </w:p>
    <w:p w14:paraId="24CE5C10" w14:textId="58297B0F" w:rsidR="004A1A0C" w:rsidRDefault="000F571A" w:rsidP="00A51FF4">
      <w:pPr>
        <w:spacing w:after="0" w:line="271" w:lineRule="auto"/>
        <w:jc w:val="both"/>
        <w:rPr>
          <w:rFonts w:ascii="Tahoma" w:eastAsia="Tahoma" w:hAnsi="Tahoma" w:cs="Tahoma"/>
          <w:sz w:val="20"/>
          <w:szCs w:val="20"/>
        </w:rPr>
      </w:pPr>
      <w:r>
        <w:rPr>
          <w:rFonts w:ascii="Tahoma" w:eastAsia="Tahoma" w:hAnsi="Tahoma" w:cs="Tahoma"/>
          <w:sz w:val="20"/>
          <w:szCs w:val="20"/>
        </w:rPr>
        <w:t xml:space="preserve">El texto </w:t>
      </w:r>
      <w:r w:rsidR="004A1A0C">
        <w:rPr>
          <w:rFonts w:ascii="Tahoma" w:eastAsia="Tahoma" w:hAnsi="Tahoma" w:cs="Tahoma"/>
          <w:sz w:val="20"/>
          <w:szCs w:val="20"/>
        </w:rPr>
        <w:t xml:space="preserve">de este Anteproyecto presenta además </w:t>
      </w:r>
      <w:r w:rsidR="00066C78">
        <w:rPr>
          <w:rFonts w:ascii="Tahoma" w:eastAsia="Tahoma" w:hAnsi="Tahoma" w:cs="Tahoma"/>
          <w:sz w:val="20"/>
          <w:szCs w:val="20"/>
        </w:rPr>
        <w:t xml:space="preserve">articulados </w:t>
      </w:r>
      <w:r w:rsidR="004A1A0C">
        <w:rPr>
          <w:rFonts w:ascii="Tahoma" w:eastAsia="Tahoma" w:hAnsi="Tahoma" w:cs="Tahoma"/>
          <w:sz w:val="20"/>
          <w:szCs w:val="20"/>
        </w:rPr>
        <w:t>que difieren de la primera redacción del proyecto de Directiva europea</w:t>
      </w:r>
      <w:r>
        <w:rPr>
          <w:rFonts w:ascii="Tahoma" w:eastAsia="Tahoma" w:hAnsi="Tahoma" w:cs="Tahoma"/>
          <w:sz w:val="20"/>
          <w:szCs w:val="20"/>
        </w:rPr>
        <w:t>,</w:t>
      </w:r>
      <w:r w:rsidR="004A1A0C">
        <w:rPr>
          <w:rFonts w:ascii="Tahoma" w:eastAsia="Tahoma" w:hAnsi="Tahoma" w:cs="Tahoma"/>
          <w:sz w:val="20"/>
          <w:szCs w:val="20"/>
        </w:rPr>
        <w:t xml:space="preserve"> y que </w:t>
      </w:r>
      <w:r>
        <w:rPr>
          <w:rFonts w:ascii="Tahoma" w:eastAsia="Tahoma" w:hAnsi="Tahoma" w:cs="Tahoma"/>
          <w:sz w:val="20"/>
          <w:szCs w:val="20"/>
        </w:rPr>
        <w:t>contiene</w:t>
      </w:r>
      <w:r w:rsidR="006324E5">
        <w:rPr>
          <w:rFonts w:ascii="Tahoma" w:eastAsia="Tahoma" w:hAnsi="Tahoma" w:cs="Tahoma"/>
          <w:sz w:val="20"/>
          <w:szCs w:val="20"/>
        </w:rPr>
        <w:t>n</w:t>
      </w:r>
      <w:r w:rsidR="000D3A07">
        <w:rPr>
          <w:rFonts w:ascii="Tahoma" w:eastAsia="Tahoma" w:hAnsi="Tahoma" w:cs="Tahoma"/>
          <w:sz w:val="20"/>
          <w:szCs w:val="20"/>
        </w:rPr>
        <w:t xml:space="preserve"> graves lagunas y zonas grises abiertas a interpretación</w:t>
      </w:r>
      <w:r w:rsidR="00066C78">
        <w:rPr>
          <w:rFonts w:ascii="Tahoma" w:eastAsia="Tahoma" w:hAnsi="Tahoma" w:cs="Tahoma"/>
          <w:sz w:val="20"/>
          <w:szCs w:val="20"/>
        </w:rPr>
        <w:t xml:space="preserve"> posterior</w:t>
      </w:r>
      <w:r w:rsidR="000D3A07">
        <w:rPr>
          <w:rFonts w:ascii="Tahoma" w:eastAsia="Tahoma" w:hAnsi="Tahoma" w:cs="Tahoma"/>
          <w:sz w:val="20"/>
          <w:szCs w:val="20"/>
        </w:rPr>
        <w:t>.</w:t>
      </w:r>
    </w:p>
    <w:p w14:paraId="287A9D90" w14:textId="77777777" w:rsidR="00A10D98" w:rsidRDefault="00A10D98" w:rsidP="004A5EBA">
      <w:pPr>
        <w:spacing w:after="0" w:line="271" w:lineRule="auto"/>
        <w:jc w:val="both"/>
        <w:rPr>
          <w:rFonts w:ascii="Tahoma" w:hAnsi="Tahoma" w:cs="Tahoma"/>
          <w:sz w:val="20"/>
          <w:szCs w:val="20"/>
        </w:rPr>
      </w:pPr>
    </w:p>
    <w:p w14:paraId="6ACF36E3" w14:textId="3F2D3BA8" w:rsidR="00FD76A5" w:rsidRDefault="00FD76A5" w:rsidP="004A5EBA">
      <w:pPr>
        <w:spacing w:after="0" w:line="271" w:lineRule="auto"/>
        <w:jc w:val="both"/>
        <w:rPr>
          <w:rFonts w:ascii="Tahoma" w:hAnsi="Tahoma" w:cs="Tahoma"/>
          <w:sz w:val="20"/>
          <w:szCs w:val="20"/>
        </w:rPr>
      </w:pPr>
      <w:r>
        <w:rPr>
          <w:rFonts w:ascii="Tahoma" w:hAnsi="Tahoma" w:cs="Tahoma"/>
          <w:sz w:val="20"/>
          <w:szCs w:val="20"/>
        </w:rPr>
        <w:t>En primer lugar, e</w:t>
      </w:r>
      <w:r w:rsidR="00A10D98">
        <w:rPr>
          <w:rFonts w:ascii="Tahoma" w:hAnsi="Tahoma" w:cs="Tahoma"/>
          <w:sz w:val="20"/>
          <w:szCs w:val="20"/>
        </w:rPr>
        <w:t>l</w:t>
      </w:r>
      <w:r w:rsidR="004A5EBA">
        <w:rPr>
          <w:rFonts w:ascii="Tahoma" w:hAnsi="Tahoma" w:cs="Tahoma"/>
          <w:sz w:val="20"/>
          <w:szCs w:val="20"/>
        </w:rPr>
        <w:t xml:space="preserve"> anteproyecto</w:t>
      </w:r>
      <w:r w:rsidR="00A10D98">
        <w:rPr>
          <w:rFonts w:ascii="Tahoma" w:hAnsi="Tahoma" w:cs="Tahoma"/>
          <w:sz w:val="20"/>
          <w:szCs w:val="20"/>
        </w:rPr>
        <w:t xml:space="preserve"> </w:t>
      </w:r>
      <w:r w:rsidR="004A5EBA">
        <w:rPr>
          <w:rFonts w:ascii="Tahoma" w:hAnsi="Tahoma" w:cs="Tahoma"/>
          <w:sz w:val="20"/>
          <w:szCs w:val="20"/>
        </w:rPr>
        <w:t xml:space="preserve">no menciona ningún mecanismo de corrección de la </w:t>
      </w:r>
      <w:r w:rsidR="004A5EBA" w:rsidRPr="000D3A07">
        <w:rPr>
          <w:rFonts w:ascii="Tahoma" w:hAnsi="Tahoma" w:cs="Tahoma"/>
          <w:b/>
          <w:sz w:val="20"/>
          <w:szCs w:val="20"/>
        </w:rPr>
        <w:t>doble imposición</w:t>
      </w:r>
      <w:r w:rsidR="004A5EBA">
        <w:rPr>
          <w:rFonts w:ascii="Tahoma" w:hAnsi="Tahoma" w:cs="Tahoma"/>
          <w:sz w:val="20"/>
          <w:szCs w:val="20"/>
        </w:rPr>
        <w:t xml:space="preserve"> que va a suponer </w:t>
      </w:r>
      <w:r w:rsidR="00A10D98">
        <w:rPr>
          <w:rFonts w:ascii="Tahoma" w:hAnsi="Tahoma" w:cs="Tahoma"/>
          <w:sz w:val="20"/>
          <w:szCs w:val="20"/>
        </w:rPr>
        <w:t xml:space="preserve">el ISD </w:t>
      </w:r>
      <w:r w:rsidR="004A5EBA">
        <w:rPr>
          <w:rFonts w:ascii="Tahoma" w:hAnsi="Tahoma" w:cs="Tahoma"/>
          <w:sz w:val="20"/>
          <w:szCs w:val="20"/>
        </w:rPr>
        <w:t xml:space="preserve">para numerosas empresas asentadas en España. </w:t>
      </w:r>
      <w:r w:rsidR="000F571A">
        <w:rPr>
          <w:rFonts w:ascii="Tahoma" w:hAnsi="Tahoma" w:cs="Tahoma"/>
          <w:sz w:val="20"/>
          <w:szCs w:val="20"/>
        </w:rPr>
        <w:t xml:space="preserve">Se intenta vestir como “impuesto indirecto” un impuesto directo. </w:t>
      </w:r>
      <w:r w:rsidR="004A5EBA">
        <w:rPr>
          <w:rFonts w:ascii="Tahoma" w:hAnsi="Tahoma" w:cs="Tahoma"/>
          <w:sz w:val="20"/>
          <w:szCs w:val="20"/>
        </w:rPr>
        <w:t xml:space="preserve">Se </w:t>
      </w:r>
      <w:r w:rsidR="008B2740">
        <w:rPr>
          <w:rFonts w:ascii="Tahoma" w:hAnsi="Tahoma" w:cs="Tahoma"/>
          <w:sz w:val="20"/>
          <w:szCs w:val="20"/>
        </w:rPr>
        <w:t>ha discutido</w:t>
      </w:r>
      <w:r w:rsidR="004A5EBA">
        <w:rPr>
          <w:rFonts w:ascii="Tahoma" w:hAnsi="Tahoma" w:cs="Tahoma"/>
          <w:sz w:val="20"/>
          <w:szCs w:val="20"/>
        </w:rPr>
        <w:t xml:space="preserve"> sobre permitir la deducibilidad del gasto que supone el ISD en el IS, </w:t>
      </w:r>
      <w:r>
        <w:rPr>
          <w:rFonts w:ascii="Tahoma" w:hAnsi="Tahoma" w:cs="Tahoma"/>
          <w:sz w:val="20"/>
          <w:szCs w:val="20"/>
        </w:rPr>
        <w:t>solución que no eliminaría el incremento de coste operativo que supone un incremento en la imposición.</w:t>
      </w:r>
    </w:p>
    <w:p w14:paraId="46EB270A" w14:textId="160D659F" w:rsidR="004A5EBA" w:rsidRDefault="004A5EBA" w:rsidP="004A5EBA">
      <w:pPr>
        <w:spacing w:after="0" w:line="271" w:lineRule="auto"/>
        <w:jc w:val="both"/>
        <w:rPr>
          <w:rFonts w:ascii="Tahoma" w:hAnsi="Tahoma" w:cs="Tahoma"/>
          <w:sz w:val="20"/>
          <w:szCs w:val="20"/>
        </w:rPr>
      </w:pPr>
    </w:p>
    <w:p w14:paraId="16A82B64" w14:textId="4039E161" w:rsidR="00066C78" w:rsidRDefault="00066C78" w:rsidP="00045F12">
      <w:pPr>
        <w:spacing w:after="0" w:line="271" w:lineRule="auto"/>
        <w:jc w:val="both"/>
        <w:rPr>
          <w:rFonts w:ascii="Tahoma" w:hAnsi="Tahoma" w:cs="Tahoma"/>
          <w:sz w:val="20"/>
          <w:szCs w:val="20"/>
        </w:rPr>
      </w:pPr>
      <w:r>
        <w:rPr>
          <w:rFonts w:ascii="Tahoma" w:hAnsi="Tahoma" w:cs="Tahoma"/>
          <w:sz w:val="20"/>
          <w:szCs w:val="20"/>
        </w:rPr>
        <w:t>Al mismo tiempo</w:t>
      </w:r>
      <w:r w:rsidR="004A5EBA">
        <w:rPr>
          <w:rFonts w:ascii="Tahoma" w:hAnsi="Tahoma" w:cs="Tahoma"/>
          <w:sz w:val="20"/>
          <w:szCs w:val="20"/>
        </w:rPr>
        <w:t>, el texto</w:t>
      </w:r>
      <w:r>
        <w:rPr>
          <w:rFonts w:ascii="Tahoma" w:hAnsi="Tahoma" w:cs="Tahoma"/>
          <w:sz w:val="20"/>
          <w:szCs w:val="20"/>
        </w:rPr>
        <w:t xml:space="preserve"> publicado por</w:t>
      </w:r>
      <w:r w:rsidR="004A5EBA">
        <w:rPr>
          <w:rFonts w:ascii="Tahoma" w:hAnsi="Tahoma" w:cs="Tahoma"/>
          <w:sz w:val="20"/>
          <w:szCs w:val="20"/>
        </w:rPr>
        <w:t xml:space="preserve"> la Dirección General de Tributos detalla </w:t>
      </w:r>
      <w:r w:rsidR="006D08E9">
        <w:rPr>
          <w:rFonts w:ascii="Tahoma" w:hAnsi="Tahoma" w:cs="Tahoma"/>
          <w:sz w:val="20"/>
          <w:szCs w:val="20"/>
        </w:rPr>
        <w:t>algunas</w:t>
      </w:r>
      <w:r w:rsidR="004A5EBA">
        <w:rPr>
          <w:rFonts w:ascii="Tahoma" w:hAnsi="Tahoma" w:cs="Tahoma"/>
          <w:sz w:val="20"/>
          <w:szCs w:val="20"/>
        </w:rPr>
        <w:t xml:space="preserve"> actividades gravadas </w:t>
      </w:r>
      <w:r w:rsidR="008B2740">
        <w:rPr>
          <w:rFonts w:ascii="Tahoma" w:hAnsi="Tahoma" w:cs="Tahoma"/>
          <w:sz w:val="20"/>
          <w:szCs w:val="20"/>
        </w:rPr>
        <w:t>por el ISD</w:t>
      </w:r>
      <w:r w:rsidR="006D08E9">
        <w:rPr>
          <w:rFonts w:ascii="Tahoma" w:hAnsi="Tahoma" w:cs="Tahoma"/>
          <w:sz w:val="20"/>
          <w:szCs w:val="20"/>
        </w:rPr>
        <w:t xml:space="preserve"> de forma poco concreta</w:t>
      </w:r>
      <w:r w:rsidR="008B2740">
        <w:rPr>
          <w:rFonts w:ascii="Tahoma" w:hAnsi="Tahoma" w:cs="Tahoma"/>
          <w:sz w:val="20"/>
          <w:szCs w:val="20"/>
        </w:rPr>
        <w:t xml:space="preserve">, </w:t>
      </w:r>
      <w:r w:rsidR="004A5EBA">
        <w:rPr>
          <w:rFonts w:ascii="Tahoma" w:hAnsi="Tahoma" w:cs="Tahoma"/>
          <w:sz w:val="20"/>
          <w:szCs w:val="20"/>
        </w:rPr>
        <w:t>entre las que se habla, por ejemplo, de “</w:t>
      </w:r>
      <w:r w:rsidR="004A5EBA" w:rsidRPr="000D3A07">
        <w:rPr>
          <w:rFonts w:ascii="Tahoma" w:hAnsi="Tahoma" w:cs="Tahoma"/>
          <w:b/>
          <w:sz w:val="20"/>
          <w:szCs w:val="20"/>
        </w:rPr>
        <w:t>servicios de trasmisión de datos</w:t>
      </w:r>
      <w:r w:rsidR="004A5EBA">
        <w:rPr>
          <w:rFonts w:ascii="Tahoma" w:hAnsi="Tahoma" w:cs="Tahoma"/>
          <w:sz w:val="20"/>
          <w:szCs w:val="20"/>
        </w:rPr>
        <w:t>” y no de “la trasmisión de datos recopilados acerca de los usuarios” que es l</w:t>
      </w:r>
      <w:r>
        <w:rPr>
          <w:rFonts w:ascii="Tahoma" w:hAnsi="Tahoma" w:cs="Tahoma"/>
          <w:sz w:val="20"/>
          <w:szCs w:val="20"/>
        </w:rPr>
        <w:t xml:space="preserve">a definición recogida en </w:t>
      </w:r>
      <w:r w:rsidR="004A5EBA">
        <w:rPr>
          <w:rFonts w:ascii="Tahoma" w:hAnsi="Tahoma" w:cs="Tahoma"/>
          <w:sz w:val="20"/>
          <w:szCs w:val="20"/>
        </w:rPr>
        <w:t>la propuesta de Directiva. La diferencia de matiz</w:t>
      </w:r>
      <w:r w:rsidR="00FD76A5">
        <w:rPr>
          <w:rFonts w:ascii="Tahoma" w:hAnsi="Tahoma" w:cs="Tahoma"/>
          <w:sz w:val="20"/>
          <w:szCs w:val="20"/>
        </w:rPr>
        <w:t xml:space="preserve"> es</w:t>
      </w:r>
      <w:r w:rsidR="004A5EBA">
        <w:rPr>
          <w:rFonts w:ascii="Tahoma" w:hAnsi="Tahoma" w:cs="Tahoma"/>
          <w:sz w:val="20"/>
          <w:szCs w:val="20"/>
        </w:rPr>
        <w:t xml:space="preserve"> notable y </w:t>
      </w:r>
      <w:r w:rsidR="006D08E9">
        <w:rPr>
          <w:rFonts w:ascii="Tahoma" w:hAnsi="Tahoma" w:cs="Tahoma"/>
          <w:sz w:val="20"/>
          <w:szCs w:val="20"/>
        </w:rPr>
        <w:t>supone desconocer que la</w:t>
      </w:r>
      <w:r w:rsidR="00045F12">
        <w:rPr>
          <w:rFonts w:ascii="Tahoma" w:hAnsi="Tahoma" w:cs="Tahoma"/>
          <w:sz w:val="20"/>
          <w:szCs w:val="20"/>
        </w:rPr>
        <w:t xml:space="preserve"> trasmisión de datos es una actividad central del negocio</w:t>
      </w:r>
      <w:r w:rsidR="00195861">
        <w:rPr>
          <w:rFonts w:ascii="Tahoma" w:hAnsi="Tahoma" w:cs="Tahoma"/>
          <w:sz w:val="20"/>
          <w:szCs w:val="20"/>
        </w:rPr>
        <w:t>, por ejemplo,</w:t>
      </w:r>
      <w:r w:rsidR="00045F12">
        <w:rPr>
          <w:rFonts w:ascii="Tahoma" w:hAnsi="Tahoma" w:cs="Tahoma"/>
          <w:sz w:val="20"/>
          <w:szCs w:val="20"/>
        </w:rPr>
        <w:t xml:space="preserve"> de las telecomunicaciones.</w:t>
      </w:r>
      <w:r w:rsidR="006D08E9">
        <w:rPr>
          <w:rFonts w:ascii="Tahoma" w:hAnsi="Tahoma" w:cs="Tahoma"/>
          <w:sz w:val="20"/>
          <w:szCs w:val="20"/>
        </w:rPr>
        <w:t xml:space="preserve"> </w:t>
      </w:r>
    </w:p>
    <w:p w14:paraId="356C3540" w14:textId="353718B3" w:rsidR="00045F12" w:rsidRDefault="006D08E9" w:rsidP="00045F12">
      <w:pPr>
        <w:spacing w:after="0" w:line="271" w:lineRule="auto"/>
        <w:jc w:val="both"/>
        <w:rPr>
          <w:rFonts w:ascii="Tahoma" w:hAnsi="Tahoma" w:cs="Tahoma"/>
          <w:sz w:val="20"/>
          <w:szCs w:val="20"/>
        </w:rPr>
      </w:pPr>
      <w:r>
        <w:rPr>
          <w:rFonts w:ascii="Tahoma" w:hAnsi="Tahoma" w:cs="Tahoma"/>
          <w:sz w:val="20"/>
          <w:szCs w:val="20"/>
        </w:rPr>
        <w:t xml:space="preserve">La </w:t>
      </w:r>
      <w:r w:rsidR="00045F12" w:rsidRPr="001A4CC0">
        <w:rPr>
          <w:rFonts w:ascii="Tahoma" w:hAnsi="Tahoma" w:cs="Tahoma"/>
          <w:sz w:val="20"/>
          <w:szCs w:val="20"/>
        </w:rPr>
        <w:t>norma</w:t>
      </w:r>
      <w:r w:rsidR="00066C78">
        <w:rPr>
          <w:rFonts w:ascii="Tahoma" w:hAnsi="Tahoma" w:cs="Tahoma"/>
          <w:sz w:val="20"/>
          <w:szCs w:val="20"/>
        </w:rPr>
        <w:t xml:space="preserve"> actualmente en discusión</w:t>
      </w:r>
      <w:r w:rsidR="00045F12" w:rsidRPr="001A4CC0">
        <w:rPr>
          <w:rFonts w:ascii="Tahoma" w:hAnsi="Tahoma" w:cs="Tahoma"/>
          <w:sz w:val="20"/>
          <w:szCs w:val="20"/>
        </w:rPr>
        <w:t xml:space="preserve"> deberá definir </w:t>
      </w:r>
      <w:r w:rsidR="00045F12">
        <w:rPr>
          <w:rFonts w:ascii="Tahoma" w:hAnsi="Tahoma" w:cs="Tahoma"/>
          <w:sz w:val="20"/>
          <w:szCs w:val="20"/>
        </w:rPr>
        <w:t>esta cuestión</w:t>
      </w:r>
      <w:r w:rsidR="00045F12" w:rsidRPr="001A4CC0">
        <w:rPr>
          <w:rFonts w:ascii="Tahoma" w:hAnsi="Tahoma" w:cs="Tahoma"/>
          <w:sz w:val="20"/>
          <w:szCs w:val="20"/>
        </w:rPr>
        <w:t xml:space="preserve"> de manera que no expanda el hecho imponible a datos que no han sido generados por la actividad del usuario. </w:t>
      </w:r>
      <w:r w:rsidR="00045F12">
        <w:rPr>
          <w:rFonts w:ascii="Tahoma" w:hAnsi="Tahoma" w:cs="Tahoma"/>
          <w:sz w:val="20"/>
          <w:szCs w:val="20"/>
        </w:rPr>
        <w:t>Es decir,</w:t>
      </w:r>
      <w:r w:rsidR="00066C78">
        <w:rPr>
          <w:rFonts w:ascii="Tahoma" w:hAnsi="Tahoma" w:cs="Tahoma"/>
          <w:sz w:val="20"/>
          <w:szCs w:val="20"/>
        </w:rPr>
        <w:t xml:space="preserve"> aquellos</w:t>
      </w:r>
      <w:r w:rsidR="00BA6885">
        <w:rPr>
          <w:rFonts w:ascii="Tahoma" w:hAnsi="Tahoma" w:cs="Tahoma"/>
          <w:sz w:val="20"/>
          <w:szCs w:val="20"/>
        </w:rPr>
        <w:t xml:space="preserve"> </w:t>
      </w:r>
      <w:r w:rsidR="00045F12">
        <w:rPr>
          <w:rFonts w:ascii="Tahoma" w:hAnsi="Tahoma" w:cs="Tahoma"/>
          <w:sz w:val="20"/>
          <w:szCs w:val="20"/>
        </w:rPr>
        <w:t xml:space="preserve">datos </w:t>
      </w:r>
      <w:r w:rsidR="00045F12" w:rsidRPr="00045F12">
        <w:rPr>
          <w:rFonts w:ascii="Tahoma" w:hAnsi="Tahoma" w:cs="Tahoma"/>
          <w:sz w:val="20"/>
          <w:szCs w:val="20"/>
        </w:rPr>
        <w:t xml:space="preserve">que una entidad recaba de la relación comercial con el cliente </w:t>
      </w:r>
      <w:r w:rsidR="00045F12">
        <w:rPr>
          <w:rFonts w:ascii="Tahoma" w:hAnsi="Tahoma" w:cs="Tahoma"/>
          <w:sz w:val="20"/>
          <w:szCs w:val="20"/>
        </w:rPr>
        <w:t>y</w:t>
      </w:r>
      <w:r>
        <w:rPr>
          <w:rFonts w:ascii="Tahoma" w:hAnsi="Tahoma" w:cs="Tahoma"/>
          <w:sz w:val="20"/>
          <w:szCs w:val="20"/>
        </w:rPr>
        <w:t xml:space="preserve"> no de su comportamiento digital o de su actividad electrónica</w:t>
      </w:r>
      <w:r w:rsidR="00045F12" w:rsidRPr="00045F12">
        <w:rPr>
          <w:rFonts w:ascii="Tahoma" w:hAnsi="Tahoma" w:cs="Tahoma"/>
          <w:sz w:val="20"/>
          <w:szCs w:val="20"/>
        </w:rPr>
        <w:t>.</w:t>
      </w:r>
    </w:p>
    <w:p w14:paraId="4043B338" w14:textId="77777777" w:rsidR="006324E5" w:rsidRDefault="006324E5" w:rsidP="00045F12">
      <w:pPr>
        <w:spacing w:after="0" w:line="271" w:lineRule="auto"/>
        <w:jc w:val="both"/>
        <w:rPr>
          <w:rFonts w:ascii="Tahoma" w:hAnsi="Tahoma" w:cs="Tahoma"/>
          <w:sz w:val="20"/>
          <w:szCs w:val="20"/>
        </w:rPr>
      </w:pPr>
    </w:p>
    <w:p w14:paraId="793CF076" w14:textId="135FF5CA" w:rsidR="006D08E9" w:rsidRDefault="006D08E9" w:rsidP="00045F12">
      <w:pPr>
        <w:spacing w:after="0" w:line="271" w:lineRule="auto"/>
        <w:jc w:val="both"/>
        <w:rPr>
          <w:rFonts w:ascii="Tahoma" w:hAnsi="Tahoma" w:cs="Tahoma"/>
          <w:sz w:val="20"/>
          <w:szCs w:val="20"/>
        </w:rPr>
      </w:pPr>
      <w:r>
        <w:rPr>
          <w:rFonts w:ascii="Tahoma" w:hAnsi="Tahoma" w:cs="Tahoma"/>
          <w:sz w:val="20"/>
          <w:szCs w:val="20"/>
        </w:rPr>
        <w:t xml:space="preserve">No queda </w:t>
      </w:r>
      <w:r w:rsidR="00195861">
        <w:rPr>
          <w:rFonts w:ascii="Tahoma" w:hAnsi="Tahoma" w:cs="Tahoma"/>
          <w:sz w:val="20"/>
          <w:szCs w:val="20"/>
        </w:rPr>
        <w:t xml:space="preserve">del todo </w:t>
      </w:r>
      <w:r>
        <w:rPr>
          <w:rFonts w:ascii="Tahoma" w:hAnsi="Tahoma" w:cs="Tahoma"/>
          <w:sz w:val="20"/>
          <w:szCs w:val="20"/>
        </w:rPr>
        <w:t xml:space="preserve">claro, por tanto, qué servicios específicos van a ser gravados, o cuáles se van a ver contaminados (sectores como el de la </w:t>
      </w:r>
      <w:r w:rsidRPr="00195861">
        <w:rPr>
          <w:rFonts w:ascii="Tahoma" w:hAnsi="Tahoma" w:cs="Tahoma"/>
          <w:b/>
          <w:sz w:val="20"/>
          <w:szCs w:val="20"/>
        </w:rPr>
        <w:t>automoción y su coche conectado</w:t>
      </w:r>
      <w:r>
        <w:rPr>
          <w:rFonts w:ascii="Tahoma" w:hAnsi="Tahoma" w:cs="Tahoma"/>
          <w:sz w:val="20"/>
          <w:szCs w:val="20"/>
        </w:rPr>
        <w:t xml:space="preserve"> también podría</w:t>
      </w:r>
      <w:r w:rsidR="00C573C3">
        <w:rPr>
          <w:rFonts w:ascii="Tahoma" w:hAnsi="Tahoma" w:cs="Tahoma"/>
          <w:sz w:val="20"/>
          <w:szCs w:val="20"/>
        </w:rPr>
        <w:t>n</w:t>
      </w:r>
      <w:r>
        <w:rPr>
          <w:rFonts w:ascii="Tahoma" w:hAnsi="Tahoma" w:cs="Tahoma"/>
          <w:sz w:val="20"/>
          <w:szCs w:val="20"/>
        </w:rPr>
        <w:t xml:space="preserve"> verse afectado</w:t>
      </w:r>
      <w:r w:rsidR="00C573C3">
        <w:rPr>
          <w:rFonts w:ascii="Tahoma" w:hAnsi="Tahoma" w:cs="Tahoma"/>
          <w:sz w:val="20"/>
          <w:szCs w:val="20"/>
        </w:rPr>
        <w:t>s</w:t>
      </w:r>
      <w:r>
        <w:rPr>
          <w:rFonts w:ascii="Tahoma" w:hAnsi="Tahoma" w:cs="Tahoma"/>
          <w:sz w:val="20"/>
          <w:szCs w:val="20"/>
        </w:rPr>
        <w:t xml:space="preserve">, penalizando así los negocios con un alto componente </w:t>
      </w:r>
      <w:r w:rsidR="00C573C3">
        <w:rPr>
          <w:rFonts w:ascii="Tahoma" w:hAnsi="Tahoma" w:cs="Tahoma"/>
          <w:sz w:val="20"/>
          <w:szCs w:val="20"/>
        </w:rPr>
        <w:t>de</w:t>
      </w:r>
      <w:r>
        <w:rPr>
          <w:rFonts w:ascii="Tahoma" w:hAnsi="Tahoma" w:cs="Tahoma"/>
          <w:sz w:val="20"/>
          <w:szCs w:val="20"/>
        </w:rPr>
        <w:t xml:space="preserve"> innovación). </w:t>
      </w:r>
    </w:p>
    <w:p w14:paraId="176A77F7" w14:textId="2F85C551" w:rsidR="00066C78" w:rsidRDefault="00C573C3" w:rsidP="00045F12">
      <w:pPr>
        <w:spacing w:after="0" w:line="271" w:lineRule="auto"/>
        <w:jc w:val="both"/>
        <w:rPr>
          <w:rFonts w:ascii="Tahoma" w:hAnsi="Tahoma" w:cs="Tahoma"/>
          <w:sz w:val="20"/>
          <w:szCs w:val="20"/>
        </w:rPr>
      </w:pPr>
      <w:r>
        <w:rPr>
          <w:rFonts w:ascii="Tahoma" w:hAnsi="Tahoma" w:cs="Tahoma"/>
          <w:sz w:val="20"/>
          <w:szCs w:val="20"/>
        </w:rPr>
        <w:t xml:space="preserve">La </w:t>
      </w:r>
      <w:r w:rsidRPr="00195861">
        <w:rPr>
          <w:rFonts w:ascii="Tahoma" w:hAnsi="Tahoma" w:cs="Tahoma"/>
          <w:b/>
          <w:sz w:val="20"/>
          <w:szCs w:val="20"/>
        </w:rPr>
        <w:t>memoria económica</w:t>
      </w:r>
      <w:r>
        <w:rPr>
          <w:rFonts w:ascii="Tahoma" w:hAnsi="Tahoma" w:cs="Tahoma"/>
          <w:sz w:val="20"/>
          <w:szCs w:val="20"/>
        </w:rPr>
        <w:t xml:space="preserve"> hace referencia a una recaudación estimada donde especifican que las empresas “de telefonía” </w:t>
      </w:r>
      <w:r w:rsidR="007239E9">
        <w:rPr>
          <w:rFonts w:ascii="Tahoma" w:hAnsi="Tahoma" w:cs="Tahoma"/>
          <w:sz w:val="20"/>
          <w:szCs w:val="20"/>
        </w:rPr>
        <w:t xml:space="preserve">(¿?) </w:t>
      </w:r>
      <w:r>
        <w:rPr>
          <w:rFonts w:ascii="Tahoma" w:hAnsi="Tahoma" w:cs="Tahoma"/>
          <w:sz w:val="20"/>
          <w:szCs w:val="20"/>
        </w:rPr>
        <w:t xml:space="preserve">aportarían unos 100 millones de euros, resultantes de considerar que un </w:t>
      </w:r>
      <w:r w:rsidRPr="00195861">
        <w:rPr>
          <w:rFonts w:ascii="Tahoma" w:hAnsi="Tahoma" w:cs="Tahoma"/>
          <w:b/>
          <w:sz w:val="20"/>
          <w:szCs w:val="20"/>
        </w:rPr>
        <w:t>10% de sus operaciones</w:t>
      </w:r>
      <w:r>
        <w:rPr>
          <w:rFonts w:ascii="Tahoma" w:hAnsi="Tahoma" w:cs="Tahoma"/>
          <w:sz w:val="20"/>
          <w:szCs w:val="20"/>
        </w:rPr>
        <w:t xml:space="preserve"> puedan estar sujetas a este tributo. Resulta difícil adivinar la </w:t>
      </w:r>
      <w:r>
        <w:rPr>
          <w:rFonts w:ascii="Tahoma" w:hAnsi="Tahoma" w:cs="Tahoma"/>
          <w:sz w:val="20"/>
          <w:szCs w:val="20"/>
        </w:rPr>
        <w:lastRenderedPageBreak/>
        <w:t xml:space="preserve">lógica para llegar a esta cifra que nada tiene que ver con el porcentaje de </w:t>
      </w:r>
      <w:r w:rsidR="00F32675">
        <w:rPr>
          <w:rFonts w:ascii="Tahoma" w:hAnsi="Tahoma" w:cs="Tahoma"/>
          <w:sz w:val="20"/>
          <w:szCs w:val="20"/>
        </w:rPr>
        <w:t>negocio de estas empresas</w:t>
      </w:r>
      <w:r>
        <w:rPr>
          <w:rFonts w:ascii="Tahoma" w:hAnsi="Tahoma" w:cs="Tahoma"/>
          <w:sz w:val="20"/>
          <w:szCs w:val="20"/>
        </w:rPr>
        <w:t xml:space="preserve">, a no ser que dichas actividades resulten suficientemente difusas para estar sujetas a interpretación del </w:t>
      </w:r>
      <w:r w:rsidR="006324E5">
        <w:rPr>
          <w:rFonts w:ascii="Tahoma" w:hAnsi="Tahoma" w:cs="Tahoma"/>
          <w:sz w:val="20"/>
          <w:szCs w:val="20"/>
        </w:rPr>
        <w:t>órgano tributario</w:t>
      </w:r>
      <w:r>
        <w:rPr>
          <w:rFonts w:ascii="Tahoma" w:hAnsi="Tahoma" w:cs="Tahoma"/>
          <w:sz w:val="20"/>
          <w:szCs w:val="20"/>
        </w:rPr>
        <w:t xml:space="preserve"> y</w:t>
      </w:r>
      <w:r w:rsidR="006324E5">
        <w:rPr>
          <w:rFonts w:ascii="Tahoma" w:hAnsi="Tahoma" w:cs="Tahoma"/>
          <w:sz w:val="20"/>
          <w:szCs w:val="20"/>
        </w:rPr>
        <w:t xml:space="preserve">, </w:t>
      </w:r>
      <w:r>
        <w:rPr>
          <w:rFonts w:ascii="Tahoma" w:hAnsi="Tahoma" w:cs="Tahoma"/>
          <w:sz w:val="20"/>
          <w:szCs w:val="20"/>
        </w:rPr>
        <w:t xml:space="preserve">por tanto, supongan más un elemento recaudatorio </w:t>
      </w:r>
      <w:r w:rsidR="00195861">
        <w:rPr>
          <w:rFonts w:ascii="Tahoma" w:hAnsi="Tahoma" w:cs="Tahoma"/>
          <w:sz w:val="20"/>
          <w:szCs w:val="20"/>
        </w:rPr>
        <w:t xml:space="preserve">en </w:t>
      </w:r>
      <w:r>
        <w:rPr>
          <w:rFonts w:ascii="Tahoma" w:hAnsi="Tahoma" w:cs="Tahoma"/>
          <w:sz w:val="20"/>
          <w:szCs w:val="20"/>
        </w:rPr>
        <w:t xml:space="preserve">empresas que ya están tributando por el conjunto de sus ingresos, que una medida para </w:t>
      </w:r>
      <w:r w:rsidR="006324E5">
        <w:rPr>
          <w:rFonts w:ascii="Tahoma" w:hAnsi="Tahoma" w:cs="Tahoma"/>
          <w:sz w:val="20"/>
          <w:szCs w:val="20"/>
        </w:rPr>
        <w:t xml:space="preserve">corregir la no tributación de otras </w:t>
      </w:r>
      <w:r w:rsidR="00F32675">
        <w:rPr>
          <w:rFonts w:ascii="Tahoma" w:hAnsi="Tahoma" w:cs="Tahoma"/>
          <w:sz w:val="20"/>
          <w:szCs w:val="20"/>
        </w:rPr>
        <w:t>entidades</w:t>
      </w:r>
      <w:r w:rsidR="006324E5">
        <w:rPr>
          <w:rFonts w:ascii="Tahoma" w:hAnsi="Tahoma" w:cs="Tahoma"/>
          <w:sz w:val="20"/>
          <w:szCs w:val="20"/>
        </w:rPr>
        <w:t>.</w:t>
      </w:r>
    </w:p>
    <w:p w14:paraId="13C3A59A" w14:textId="53B4BC9E" w:rsidR="006D08E9" w:rsidRDefault="006D08E9" w:rsidP="00045F12">
      <w:pPr>
        <w:spacing w:after="0" w:line="271" w:lineRule="auto"/>
        <w:jc w:val="both"/>
        <w:rPr>
          <w:rFonts w:ascii="Tahoma" w:hAnsi="Tahoma" w:cs="Tahoma"/>
          <w:sz w:val="20"/>
          <w:szCs w:val="20"/>
        </w:rPr>
      </w:pPr>
    </w:p>
    <w:p w14:paraId="57B4D1AA" w14:textId="39EF8101" w:rsidR="006D08E9" w:rsidRPr="00045F12" w:rsidRDefault="006D08E9" w:rsidP="00045F12">
      <w:pPr>
        <w:spacing w:after="0" w:line="271" w:lineRule="auto"/>
        <w:jc w:val="both"/>
        <w:rPr>
          <w:rFonts w:ascii="Tahoma" w:hAnsi="Tahoma" w:cs="Tahoma"/>
          <w:sz w:val="20"/>
          <w:szCs w:val="20"/>
        </w:rPr>
      </w:pPr>
      <w:r>
        <w:rPr>
          <w:rFonts w:ascii="Tahoma" w:hAnsi="Tahoma" w:cs="Tahoma"/>
          <w:sz w:val="20"/>
          <w:szCs w:val="20"/>
        </w:rPr>
        <w:t>Junto a esta falta de definición</w:t>
      </w:r>
      <w:r w:rsidR="006324E5">
        <w:rPr>
          <w:rFonts w:ascii="Tahoma" w:hAnsi="Tahoma" w:cs="Tahoma"/>
          <w:sz w:val="20"/>
          <w:szCs w:val="20"/>
        </w:rPr>
        <w:t xml:space="preserve"> de los servicios afectados</w:t>
      </w:r>
      <w:r>
        <w:rPr>
          <w:rFonts w:ascii="Tahoma" w:hAnsi="Tahoma" w:cs="Tahoma"/>
          <w:sz w:val="20"/>
          <w:szCs w:val="20"/>
        </w:rPr>
        <w:t xml:space="preserve">, destaca una </w:t>
      </w:r>
      <w:r w:rsidRPr="00195861">
        <w:rPr>
          <w:rFonts w:ascii="Tahoma" w:hAnsi="Tahoma" w:cs="Tahoma"/>
          <w:b/>
          <w:sz w:val="20"/>
          <w:szCs w:val="20"/>
        </w:rPr>
        <w:t xml:space="preserve">disposición final tercera </w:t>
      </w:r>
      <w:r>
        <w:rPr>
          <w:rFonts w:ascii="Tahoma" w:hAnsi="Tahoma" w:cs="Tahoma"/>
          <w:sz w:val="20"/>
          <w:szCs w:val="20"/>
        </w:rPr>
        <w:t>que establece que los umbrales cuantitativos, los supuestos de no sujeción o el tipo impositivo “podrán ser modificados por la Ley de Presupuestos Generales del Estado”. No es de recibo que una ley de este calado pueda ser modificada anualmente según los intereses políticos</w:t>
      </w:r>
      <w:r w:rsidR="00C573C3">
        <w:rPr>
          <w:rFonts w:ascii="Tahoma" w:hAnsi="Tahoma" w:cs="Tahoma"/>
          <w:sz w:val="20"/>
          <w:szCs w:val="20"/>
        </w:rPr>
        <w:t xml:space="preserve"> o necesidades presupuestarias de cada momento. Un</w:t>
      </w:r>
      <w:r w:rsidR="006324E5">
        <w:rPr>
          <w:rFonts w:ascii="Tahoma" w:hAnsi="Tahoma" w:cs="Tahoma"/>
          <w:sz w:val="20"/>
          <w:szCs w:val="20"/>
        </w:rPr>
        <w:t xml:space="preserve">a arbitrariedad </w:t>
      </w:r>
      <w:r w:rsidR="00C573C3">
        <w:rPr>
          <w:rFonts w:ascii="Tahoma" w:hAnsi="Tahoma" w:cs="Tahoma"/>
          <w:sz w:val="20"/>
          <w:szCs w:val="20"/>
        </w:rPr>
        <w:t>que sepulta cualquier principio de seguridad jurídica, eficacia, proporcionalidad y transparencia, además de dejar en muy mal lugar la imagen de España en el exterior</w:t>
      </w:r>
      <w:r w:rsidR="006324E5">
        <w:rPr>
          <w:rFonts w:ascii="Tahoma" w:hAnsi="Tahoma" w:cs="Tahoma"/>
          <w:sz w:val="20"/>
          <w:szCs w:val="20"/>
        </w:rPr>
        <w:t>.</w:t>
      </w:r>
    </w:p>
    <w:p w14:paraId="7ABF8427" w14:textId="77777777" w:rsidR="00766A29" w:rsidRDefault="00766A29" w:rsidP="00766A29">
      <w:pPr>
        <w:spacing w:after="0" w:line="271" w:lineRule="auto"/>
        <w:jc w:val="both"/>
        <w:rPr>
          <w:rFonts w:ascii="Tahoma" w:hAnsi="Tahoma" w:cs="Tahoma"/>
          <w:sz w:val="20"/>
          <w:szCs w:val="20"/>
        </w:rPr>
      </w:pPr>
    </w:p>
    <w:p w14:paraId="00DB4497" w14:textId="45235232" w:rsidR="00766A29" w:rsidRDefault="00766A29" w:rsidP="00766A29">
      <w:pPr>
        <w:spacing w:after="0" w:line="271" w:lineRule="auto"/>
        <w:jc w:val="both"/>
        <w:rPr>
          <w:rFonts w:ascii="Tahoma" w:hAnsi="Tahoma" w:cs="Tahoma"/>
          <w:sz w:val="20"/>
          <w:szCs w:val="20"/>
        </w:rPr>
      </w:pPr>
      <w:r>
        <w:rPr>
          <w:rFonts w:ascii="Tahoma" w:hAnsi="Tahoma" w:cs="Tahoma"/>
          <w:sz w:val="20"/>
          <w:szCs w:val="20"/>
        </w:rPr>
        <w:t xml:space="preserve">Debemos asegurar que la aplicación de un impuesto de estas características sirva para su objetivo inicial de corregir la ventaja de entidades no establecidas en los países donde </w:t>
      </w:r>
      <w:r w:rsidR="00C573C3">
        <w:rPr>
          <w:rFonts w:ascii="Tahoma" w:hAnsi="Tahoma" w:cs="Tahoma"/>
          <w:sz w:val="20"/>
          <w:szCs w:val="20"/>
        </w:rPr>
        <w:t>generan sus ingresos</w:t>
      </w:r>
      <w:r>
        <w:rPr>
          <w:rFonts w:ascii="Tahoma" w:hAnsi="Tahoma" w:cs="Tahoma"/>
          <w:sz w:val="20"/>
          <w:szCs w:val="20"/>
        </w:rPr>
        <w:t>, y no castigar a las empresas cuyo</w:t>
      </w:r>
      <w:r w:rsidR="006324E5">
        <w:rPr>
          <w:rFonts w:ascii="Tahoma" w:hAnsi="Tahoma" w:cs="Tahoma"/>
          <w:sz w:val="20"/>
          <w:szCs w:val="20"/>
        </w:rPr>
        <w:t xml:space="preserve"> conjunto de</w:t>
      </w:r>
      <w:r>
        <w:rPr>
          <w:rFonts w:ascii="Tahoma" w:hAnsi="Tahoma" w:cs="Tahoma"/>
          <w:sz w:val="20"/>
          <w:szCs w:val="20"/>
        </w:rPr>
        <w:t xml:space="preserve"> ingresos ya están siendo fiscalizados.</w:t>
      </w:r>
    </w:p>
    <w:p w14:paraId="667064E3" w14:textId="77777777" w:rsidR="00766A29" w:rsidRPr="001A4CC0" w:rsidRDefault="00766A29" w:rsidP="004A5EBA">
      <w:pPr>
        <w:spacing w:after="0" w:line="271" w:lineRule="auto"/>
        <w:jc w:val="both"/>
        <w:rPr>
          <w:rFonts w:ascii="Tahoma" w:hAnsi="Tahoma" w:cs="Tahoma"/>
          <w:sz w:val="20"/>
          <w:szCs w:val="20"/>
        </w:rPr>
      </w:pPr>
    </w:p>
    <w:p w14:paraId="18DD0DA7" w14:textId="77777777" w:rsidR="006269C6" w:rsidRPr="00C43293" w:rsidRDefault="006269C6" w:rsidP="006269C6">
      <w:pPr>
        <w:spacing w:after="0" w:line="271" w:lineRule="auto"/>
        <w:jc w:val="both"/>
        <w:rPr>
          <w:rFonts w:ascii="Tahoma" w:hAnsi="Tahoma" w:cs="Tahoma"/>
          <w:sz w:val="20"/>
          <w:szCs w:val="20"/>
        </w:rPr>
      </w:pPr>
    </w:p>
    <w:p w14:paraId="12683BCB" w14:textId="77777777" w:rsidR="00D52126" w:rsidRDefault="00D52126" w:rsidP="00D52126">
      <w:pPr>
        <w:spacing w:after="0" w:line="271" w:lineRule="auto"/>
        <w:rPr>
          <w:rFonts w:ascii="Tahoma" w:hAnsi="Tahoma" w:cs="Tahoma"/>
          <w:sz w:val="20"/>
          <w:szCs w:val="20"/>
        </w:rPr>
      </w:pPr>
      <w:r w:rsidRPr="00D52126">
        <w:rPr>
          <w:rFonts w:ascii="Tahoma" w:hAnsi="Tahoma" w:cs="Tahoma"/>
          <w:sz w:val="20"/>
          <w:szCs w:val="20"/>
        </w:rPr>
        <w:t>Alicia Richart</w:t>
      </w:r>
    </w:p>
    <w:p w14:paraId="3B9C3CA4" w14:textId="43CA9D35" w:rsidR="00D52126" w:rsidRPr="00D52126" w:rsidRDefault="00D52126" w:rsidP="00D52126">
      <w:pPr>
        <w:spacing w:after="0" w:line="271" w:lineRule="auto"/>
        <w:rPr>
          <w:rFonts w:ascii="Tahoma" w:hAnsi="Tahoma" w:cs="Tahoma"/>
          <w:sz w:val="20"/>
          <w:szCs w:val="20"/>
        </w:rPr>
      </w:pPr>
      <w:r>
        <w:rPr>
          <w:rFonts w:ascii="Tahoma" w:hAnsi="Tahoma" w:cs="Tahoma"/>
          <w:sz w:val="20"/>
          <w:szCs w:val="20"/>
        </w:rPr>
        <w:t>D</w:t>
      </w:r>
      <w:r w:rsidRPr="00D52126">
        <w:rPr>
          <w:rFonts w:ascii="Tahoma" w:hAnsi="Tahoma" w:cs="Tahoma"/>
          <w:sz w:val="20"/>
          <w:szCs w:val="20"/>
        </w:rPr>
        <w:t xml:space="preserve">irectora General de la patronal tecnológica </w:t>
      </w:r>
      <w:proofErr w:type="spellStart"/>
      <w:r w:rsidRPr="00D52126">
        <w:rPr>
          <w:rFonts w:ascii="Tahoma" w:hAnsi="Tahoma" w:cs="Tahoma"/>
          <w:sz w:val="20"/>
          <w:szCs w:val="20"/>
        </w:rPr>
        <w:t>DigitalES</w:t>
      </w:r>
      <w:proofErr w:type="spellEnd"/>
    </w:p>
    <w:p w14:paraId="63326ABF" w14:textId="77777777" w:rsidR="001A4CC0" w:rsidRPr="001A4CC0" w:rsidRDefault="001A4CC0" w:rsidP="006477FA">
      <w:pPr>
        <w:spacing w:after="0" w:line="271" w:lineRule="auto"/>
        <w:jc w:val="both"/>
        <w:rPr>
          <w:rFonts w:ascii="Tahoma" w:hAnsi="Tahoma" w:cs="Tahoma"/>
          <w:sz w:val="20"/>
          <w:szCs w:val="20"/>
        </w:rPr>
      </w:pPr>
    </w:p>
    <w:p w14:paraId="20361BBF" w14:textId="77777777" w:rsidR="001A4CC0" w:rsidRPr="001A4CC0" w:rsidRDefault="001A4CC0" w:rsidP="006477FA">
      <w:pPr>
        <w:spacing w:after="0" w:line="271" w:lineRule="auto"/>
        <w:jc w:val="both"/>
        <w:rPr>
          <w:rFonts w:ascii="Tahoma" w:hAnsi="Tahoma" w:cs="Tahoma"/>
          <w:sz w:val="20"/>
          <w:szCs w:val="20"/>
        </w:rPr>
      </w:pPr>
    </w:p>
    <w:p w14:paraId="3A54DC0E" w14:textId="0053856E" w:rsidR="00774961" w:rsidRPr="00080889" w:rsidRDefault="00774961" w:rsidP="006477FA">
      <w:pPr>
        <w:spacing w:after="0" w:line="271" w:lineRule="auto"/>
        <w:jc w:val="both"/>
        <w:rPr>
          <w:rFonts w:ascii="Tahoma" w:hAnsi="Tahoma" w:cs="Tahoma"/>
          <w:sz w:val="20"/>
          <w:szCs w:val="20"/>
        </w:rPr>
      </w:pPr>
    </w:p>
    <w:sectPr w:rsidR="00774961" w:rsidRPr="00080889" w:rsidSect="00C4655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AD1AB" w14:textId="77777777" w:rsidR="00B9502D" w:rsidRDefault="00B9502D" w:rsidP="00B73CC0">
      <w:pPr>
        <w:spacing w:after="0" w:line="240" w:lineRule="auto"/>
      </w:pPr>
      <w:r>
        <w:separator/>
      </w:r>
    </w:p>
  </w:endnote>
  <w:endnote w:type="continuationSeparator" w:id="0">
    <w:p w14:paraId="431DCA9A" w14:textId="77777777" w:rsidR="00B9502D" w:rsidRDefault="00B9502D" w:rsidP="00B7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P Simplified Light">
    <w:panose1 w:val="020B0404020204020204"/>
    <w:charset w:val="00"/>
    <w:family w:val="swiss"/>
    <w:pitch w:val="variable"/>
    <w:sig w:usb0="A00002FF" w:usb1="5000205B"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Exo 2 Light">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468667"/>
      <w:docPartObj>
        <w:docPartGallery w:val="Page Numbers (Bottom of Page)"/>
        <w:docPartUnique/>
      </w:docPartObj>
    </w:sdtPr>
    <w:sdtEndPr/>
    <w:sdtContent>
      <w:p w14:paraId="5E8A62FA" w14:textId="326C8243" w:rsidR="00520A82" w:rsidRDefault="00520A82">
        <w:pPr>
          <w:pStyle w:val="Piedepgina"/>
          <w:jc w:val="right"/>
        </w:pPr>
        <w:r>
          <w:fldChar w:fldCharType="begin"/>
        </w:r>
        <w:r>
          <w:instrText>PAGE   \* MERGEFORMAT</w:instrText>
        </w:r>
        <w:r>
          <w:fldChar w:fldCharType="separate"/>
        </w:r>
        <w:r w:rsidR="002F77B0">
          <w:rPr>
            <w:noProof/>
          </w:rPr>
          <w:t>1</w:t>
        </w:r>
        <w:r>
          <w:fldChar w:fldCharType="end"/>
        </w:r>
      </w:p>
    </w:sdtContent>
  </w:sdt>
  <w:p w14:paraId="5E8A62FB" w14:textId="77777777" w:rsidR="00520A82" w:rsidRDefault="00520A82">
    <w:pPr>
      <w:pStyle w:val="Piedepgina"/>
    </w:pPr>
  </w:p>
  <w:p w14:paraId="5E8A62FC" w14:textId="77777777" w:rsidR="00520A82" w:rsidRDefault="00520A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AC327" w14:textId="77777777" w:rsidR="00B9502D" w:rsidRDefault="00B9502D" w:rsidP="00B73CC0">
      <w:pPr>
        <w:spacing w:after="0" w:line="240" w:lineRule="auto"/>
      </w:pPr>
      <w:r>
        <w:separator/>
      </w:r>
    </w:p>
  </w:footnote>
  <w:footnote w:type="continuationSeparator" w:id="0">
    <w:p w14:paraId="046FD0AB" w14:textId="77777777" w:rsidR="00B9502D" w:rsidRDefault="00B9502D" w:rsidP="00B73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62F8" w14:textId="77777777" w:rsidR="00520A82" w:rsidRDefault="00520A82">
    <w:pPr>
      <w:pStyle w:val="Encabezado"/>
    </w:pPr>
    <w:r>
      <w:rPr>
        <w:noProof/>
        <w:lang w:eastAsia="es-ES"/>
      </w:rPr>
      <w:drawing>
        <wp:inline distT="0" distB="0" distL="0" distR="0" wp14:anchorId="5E8A62FD" wp14:editId="5E8A62FE">
          <wp:extent cx="1638300" cy="361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38300" cy="361950"/>
                  </a:xfrm>
                  <a:prstGeom prst="rect">
                    <a:avLst/>
                  </a:prstGeom>
                </pic:spPr>
              </pic:pic>
            </a:graphicData>
          </a:graphic>
        </wp:inline>
      </w:drawing>
    </w:r>
    <w:r>
      <w:tab/>
    </w:r>
    <w:r>
      <w:tab/>
      <w:t xml:space="preserve">        </w:t>
    </w:r>
  </w:p>
  <w:p w14:paraId="5E8A62F9" w14:textId="77777777" w:rsidR="00520A82" w:rsidRPr="00315A1A" w:rsidRDefault="00520A82">
    <w:pPr>
      <w:pStyle w:val="Encabezado"/>
      <w:rPr>
        <w:rFonts w:ascii="Calibri" w:hAnsi="Calibri"/>
        <w:sz w:val="18"/>
        <w:szCs w:val="1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94"/>
    <w:multiLevelType w:val="multilevel"/>
    <w:tmpl w:val="83585B16"/>
    <w:lvl w:ilvl="0">
      <w:start w:val="1"/>
      <w:numFmt w:val="decimal"/>
      <w:lvlText w:val="%1."/>
      <w:lvlJc w:val="left"/>
      <w:pPr>
        <w:tabs>
          <w:tab w:val="num" w:pos="187"/>
        </w:tabs>
        <w:ind w:left="180" w:hanging="180"/>
      </w:pPr>
      <w:rPr>
        <w:rFonts w:hint="default"/>
        <w:color w:val="auto"/>
        <w:position w:val="2"/>
        <w:sz w:val="20"/>
      </w:rPr>
    </w:lvl>
    <w:lvl w:ilvl="1">
      <w:start w:val="1"/>
      <w:numFmt w:val="bullet"/>
      <w:lvlText w:val=""/>
      <w:lvlJc w:val="left"/>
      <w:pPr>
        <w:tabs>
          <w:tab w:val="num" w:pos="576"/>
        </w:tabs>
        <w:ind w:left="576" w:hanging="216"/>
      </w:pPr>
      <w:rPr>
        <w:rFonts w:ascii="Symbol" w:hAnsi="Symbol" w:hint="default"/>
        <w:color w:val="auto"/>
        <w:position w:val="2"/>
        <w:sz w:val="14"/>
      </w:rPr>
    </w:lvl>
    <w:lvl w:ilvl="2">
      <w:start w:val="1"/>
      <w:numFmt w:val="bullet"/>
      <w:lvlText w:val=""/>
      <w:lvlJc w:val="left"/>
      <w:pPr>
        <w:tabs>
          <w:tab w:val="num" w:pos="576"/>
        </w:tabs>
        <w:ind w:left="864" w:hanging="288"/>
      </w:pPr>
      <w:rPr>
        <w:rFonts w:ascii="Wingdings" w:hAnsi="Wingdings" w:hint="default"/>
        <w:color w:val="auto"/>
        <w:position w:val="2"/>
        <w:sz w:val="12"/>
      </w:rPr>
    </w:lvl>
    <w:lvl w:ilvl="3">
      <w:start w:val="1"/>
      <w:numFmt w:val="bullet"/>
      <w:lvlText w:val=""/>
      <w:lvlJc w:val="left"/>
      <w:pPr>
        <w:tabs>
          <w:tab w:val="num" w:pos="864"/>
        </w:tabs>
        <w:ind w:left="1080" w:hanging="216"/>
      </w:pPr>
      <w:rPr>
        <w:rFonts w:ascii="Symbol" w:hAnsi="Symbol" w:hint="default"/>
        <w:color w:val="auto"/>
        <w:position w:val="2"/>
        <w:sz w:val="14"/>
      </w:rPr>
    </w:lvl>
    <w:lvl w:ilvl="4">
      <w:start w:val="1"/>
      <w:numFmt w:val="bullet"/>
      <w:lvlText w:val=""/>
      <w:lvlJc w:val="left"/>
      <w:pPr>
        <w:tabs>
          <w:tab w:val="num" w:pos="1080"/>
        </w:tabs>
        <w:ind w:left="1296" w:hanging="216"/>
      </w:pPr>
      <w:rPr>
        <w:rFonts w:ascii="Symbol" w:hAnsi="Symbol" w:hint="default"/>
        <w:color w:val="auto"/>
        <w:position w:val="2"/>
        <w:sz w:val="14"/>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1" w15:restartNumberingAfterBreak="0">
    <w:nsid w:val="0D650176"/>
    <w:multiLevelType w:val="multilevel"/>
    <w:tmpl w:val="B1F2010C"/>
    <w:styleLink w:val="bulletedlist"/>
    <w:lvl w:ilvl="0">
      <w:start w:val="1"/>
      <w:numFmt w:val="bullet"/>
      <w:pStyle w:val="HPIbulletedtext"/>
      <w:lvlText w:val=""/>
      <w:lvlJc w:val="left"/>
      <w:pPr>
        <w:tabs>
          <w:tab w:val="num" w:pos="187"/>
        </w:tabs>
        <w:ind w:left="180" w:hanging="180"/>
      </w:pPr>
      <w:rPr>
        <w:rFonts w:ascii="Symbol" w:hAnsi="Symbol" w:hint="default"/>
        <w:color w:val="auto"/>
        <w:position w:val="2"/>
        <w:sz w:val="14"/>
      </w:rPr>
    </w:lvl>
    <w:lvl w:ilvl="1">
      <w:start w:val="1"/>
      <w:numFmt w:val="bullet"/>
      <w:lvlText w:val=""/>
      <w:lvlJc w:val="left"/>
      <w:pPr>
        <w:tabs>
          <w:tab w:val="num" w:pos="576"/>
        </w:tabs>
        <w:ind w:left="576" w:hanging="216"/>
      </w:pPr>
      <w:rPr>
        <w:rFonts w:ascii="Symbol" w:hAnsi="Symbol" w:hint="default"/>
        <w:color w:val="auto"/>
        <w:position w:val="2"/>
        <w:sz w:val="14"/>
      </w:rPr>
    </w:lvl>
    <w:lvl w:ilvl="2">
      <w:start w:val="1"/>
      <w:numFmt w:val="bullet"/>
      <w:lvlText w:val=""/>
      <w:lvlJc w:val="left"/>
      <w:pPr>
        <w:tabs>
          <w:tab w:val="num" w:pos="576"/>
        </w:tabs>
        <w:ind w:left="864" w:hanging="288"/>
      </w:pPr>
      <w:rPr>
        <w:rFonts w:ascii="Wingdings" w:hAnsi="Wingdings" w:hint="default"/>
        <w:color w:val="auto"/>
        <w:position w:val="2"/>
        <w:sz w:val="12"/>
      </w:rPr>
    </w:lvl>
    <w:lvl w:ilvl="3">
      <w:start w:val="1"/>
      <w:numFmt w:val="bullet"/>
      <w:lvlText w:val=""/>
      <w:lvlJc w:val="left"/>
      <w:pPr>
        <w:tabs>
          <w:tab w:val="num" w:pos="864"/>
        </w:tabs>
        <w:ind w:left="1080" w:hanging="216"/>
      </w:pPr>
      <w:rPr>
        <w:rFonts w:ascii="Symbol" w:hAnsi="Symbol" w:hint="default"/>
        <w:color w:val="auto"/>
        <w:position w:val="2"/>
        <w:sz w:val="14"/>
      </w:rPr>
    </w:lvl>
    <w:lvl w:ilvl="4">
      <w:start w:val="1"/>
      <w:numFmt w:val="bullet"/>
      <w:lvlText w:val=""/>
      <w:lvlJc w:val="left"/>
      <w:pPr>
        <w:tabs>
          <w:tab w:val="num" w:pos="1080"/>
        </w:tabs>
        <w:ind w:left="1296" w:hanging="216"/>
      </w:pPr>
      <w:rPr>
        <w:rFonts w:ascii="Symbol" w:hAnsi="Symbol" w:hint="default"/>
        <w:color w:val="auto"/>
        <w:position w:val="2"/>
        <w:sz w:val="14"/>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2" w15:restartNumberingAfterBreak="0">
    <w:nsid w:val="156B54B2"/>
    <w:multiLevelType w:val="hybridMultilevel"/>
    <w:tmpl w:val="FA88D7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F035EC"/>
    <w:multiLevelType w:val="hybridMultilevel"/>
    <w:tmpl w:val="B350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33AC6"/>
    <w:multiLevelType w:val="multilevel"/>
    <w:tmpl w:val="F65CCD18"/>
    <w:lvl w:ilvl="0">
      <w:start w:val="1"/>
      <w:numFmt w:val="bullet"/>
      <w:lvlText w:val=""/>
      <w:lvlJc w:val="left"/>
      <w:pPr>
        <w:tabs>
          <w:tab w:val="num" w:pos="1068"/>
        </w:tabs>
        <w:ind w:left="1068" w:hanging="360"/>
      </w:pPr>
      <w:rPr>
        <w:rFonts w:ascii="Wingdings" w:hAnsi="Wingdings"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2EC62484"/>
    <w:multiLevelType w:val="hybridMultilevel"/>
    <w:tmpl w:val="4FE8D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048E0"/>
    <w:multiLevelType w:val="hybridMultilevel"/>
    <w:tmpl w:val="DBCC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265EE"/>
    <w:multiLevelType w:val="hybridMultilevel"/>
    <w:tmpl w:val="5106CC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147255"/>
    <w:multiLevelType w:val="hybridMultilevel"/>
    <w:tmpl w:val="0B2C12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05357C"/>
    <w:multiLevelType w:val="multilevel"/>
    <w:tmpl w:val="B1F2010C"/>
    <w:numStyleLink w:val="bulletedlist"/>
  </w:abstractNum>
  <w:abstractNum w:abstractNumId="10" w15:restartNumberingAfterBreak="0">
    <w:nsid w:val="46060A20"/>
    <w:multiLevelType w:val="multilevel"/>
    <w:tmpl w:val="24122E9C"/>
    <w:lvl w:ilvl="0">
      <w:start w:val="1"/>
      <w:numFmt w:val="bullet"/>
      <w:lvlText w:val=""/>
      <w:lvlJc w:val="left"/>
      <w:pPr>
        <w:tabs>
          <w:tab w:val="num" w:pos="187"/>
        </w:tabs>
        <w:ind w:left="180" w:hanging="180"/>
      </w:pPr>
      <w:rPr>
        <w:rFonts w:ascii="Wingdings" w:hAnsi="Wingdings" w:hint="default"/>
        <w:color w:val="auto"/>
        <w:position w:val="2"/>
        <w:sz w:val="20"/>
      </w:rPr>
    </w:lvl>
    <w:lvl w:ilvl="1">
      <w:start w:val="1"/>
      <w:numFmt w:val="bullet"/>
      <w:lvlText w:val=""/>
      <w:lvlJc w:val="left"/>
      <w:pPr>
        <w:tabs>
          <w:tab w:val="num" w:pos="576"/>
        </w:tabs>
        <w:ind w:left="576" w:hanging="216"/>
      </w:pPr>
      <w:rPr>
        <w:rFonts w:ascii="Symbol" w:hAnsi="Symbol" w:hint="default"/>
        <w:color w:val="auto"/>
        <w:position w:val="2"/>
        <w:sz w:val="14"/>
      </w:rPr>
    </w:lvl>
    <w:lvl w:ilvl="2">
      <w:start w:val="1"/>
      <w:numFmt w:val="bullet"/>
      <w:lvlText w:val=""/>
      <w:lvlJc w:val="left"/>
      <w:pPr>
        <w:tabs>
          <w:tab w:val="num" w:pos="576"/>
        </w:tabs>
        <w:ind w:left="864" w:hanging="288"/>
      </w:pPr>
      <w:rPr>
        <w:rFonts w:ascii="Wingdings" w:hAnsi="Wingdings" w:hint="default"/>
        <w:color w:val="auto"/>
        <w:position w:val="2"/>
        <w:sz w:val="12"/>
      </w:rPr>
    </w:lvl>
    <w:lvl w:ilvl="3">
      <w:start w:val="1"/>
      <w:numFmt w:val="bullet"/>
      <w:lvlText w:val=""/>
      <w:lvlJc w:val="left"/>
      <w:pPr>
        <w:tabs>
          <w:tab w:val="num" w:pos="864"/>
        </w:tabs>
        <w:ind w:left="1080" w:hanging="216"/>
      </w:pPr>
      <w:rPr>
        <w:rFonts w:ascii="Symbol" w:hAnsi="Symbol" w:hint="default"/>
        <w:color w:val="auto"/>
        <w:position w:val="2"/>
        <w:sz w:val="14"/>
      </w:rPr>
    </w:lvl>
    <w:lvl w:ilvl="4">
      <w:start w:val="1"/>
      <w:numFmt w:val="bullet"/>
      <w:lvlText w:val=""/>
      <w:lvlJc w:val="left"/>
      <w:pPr>
        <w:tabs>
          <w:tab w:val="num" w:pos="1080"/>
        </w:tabs>
        <w:ind w:left="1296" w:hanging="216"/>
      </w:pPr>
      <w:rPr>
        <w:rFonts w:ascii="Symbol" w:hAnsi="Symbol" w:hint="default"/>
        <w:color w:val="auto"/>
        <w:position w:val="2"/>
        <w:sz w:val="14"/>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11" w15:restartNumberingAfterBreak="0">
    <w:nsid w:val="48662CEA"/>
    <w:multiLevelType w:val="hybridMultilevel"/>
    <w:tmpl w:val="78282F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51A0265"/>
    <w:multiLevelType w:val="hybridMultilevel"/>
    <w:tmpl w:val="6DF24554"/>
    <w:lvl w:ilvl="0" w:tplc="0C0A0001">
      <w:start w:val="1"/>
      <w:numFmt w:val="bullet"/>
      <w:lvlText w:val=""/>
      <w:lvlJc w:val="left"/>
      <w:pPr>
        <w:ind w:left="720" w:hanging="360"/>
      </w:pPr>
      <w:rPr>
        <w:rFonts w:ascii="Symbol" w:hAnsi="Symbol" w:hint="default"/>
      </w:rPr>
    </w:lvl>
    <w:lvl w:ilvl="1" w:tplc="31248AA0">
      <w:numFmt w:val="bullet"/>
      <w:lvlText w:val="•"/>
      <w:lvlJc w:val="left"/>
      <w:pPr>
        <w:ind w:left="1790" w:hanging="710"/>
      </w:pPr>
      <w:rPr>
        <w:rFonts w:ascii="Tahoma" w:eastAsiaTheme="minorHAnsi" w:hAnsi="Tahoma"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5347BD"/>
    <w:multiLevelType w:val="hybridMultilevel"/>
    <w:tmpl w:val="D6DE8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E9B2C1A"/>
    <w:multiLevelType w:val="multilevel"/>
    <w:tmpl w:val="21D07884"/>
    <w:lvl w:ilvl="0">
      <w:start w:val="1"/>
      <w:numFmt w:val="decimal"/>
      <w:lvlText w:val="%1."/>
      <w:lvlJc w:val="left"/>
      <w:pPr>
        <w:tabs>
          <w:tab w:val="num" w:pos="187"/>
        </w:tabs>
        <w:ind w:left="180" w:hanging="180"/>
      </w:pPr>
      <w:rPr>
        <w:rFonts w:ascii="HP Simplified Light" w:hAnsi="HP Simplified Light" w:hint="default"/>
        <w:color w:val="auto"/>
        <w:position w:val="2"/>
        <w:sz w:val="20"/>
      </w:rPr>
    </w:lvl>
    <w:lvl w:ilvl="1">
      <w:start w:val="1"/>
      <w:numFmt w:val="bullet"/>
      <w:lvlText w:val=""/>
      <w:lvlJc w:val="left"/>
      <w:pPr>
        <w:tabs>
          <w:tab w:val="num" w:pos="576"/>
        </w:tabs>
        <w:ind w:left="576" w:hanging="216"/>
      </w:pPr>
      <w:rPr>
        <w:rFonts w:ascii="Symbol" w:hAnsi="Symbol" w:hint="default"/>
        <w:color w:val="auto"/>
        <w:position w:val="2"/>
        <w:sz w:val="14"/>
      </w:rPr>
    </w:lvl>
    <w:lvl w:ilvl="2">
      <w:start w:val="1"/>
      <w:numFmt w:val="bullet"/>
      <w:lvlText w:val=""/>
      <w:lvlJc w:val="left"/>
      <w:pPr>
        <w:tabs>
          <w:tab w:val="num" w:pos="576"/>
        </w:tabs>
        <w:ind w:left="864" w:hanging="288"/>
      </w:pPr>
      <w:rPr>
        <w:rFonts w:ascii="Wingdings" w:hAnsi="Wingdings" w:hint="default"/>
        <w:color w:val="auto"/>
        <w:position w:val="2"/>
        <w:sz w:val="12"/>
      </w:rPr>
    </w:lvl>
    <w:lvl w:ilvl="3">
      <w:start w:val="1"/>
      <w:numFmt w:val="bullet"/>
      <w:lvlText w:val=""/>
      <w:lvlJc w:val="left"/>
      <w:pPr>
        <w:tabs>
          <w:tab w:val="num" w:pos="864"/>
        </w:tabs>
        <w:ind w:left="1080" w:hanging="216"/>
      </w:pPr>
      <w:rPr>
        <w:rFonts w:ascii="Symbol" w:hAnsi="Symbol" w:hint="default"/>
        <w:color w:val="auto"/>
        <w:position w:val="2"/>
        <w:sz w:val="14"/>
      </w:rPr>
    </w:lvl>
    <w:lvl w:ilvl="4">
      <w:start w:val="1"/>
      <w:numFmt w:val="bullet"/>
      <w:lvlText w:val=""/>
      <w:lvlJc w:val="left"/>
      <w:pPr>
        <w:tabs>
          <w:tab w:val="num" w:pos="1080"/>
        </w:tabs>
        <w:ind w:left="1296" w:hanging="216"/>
      </w:pPr>
      <w:rPr>
        <w:rFonts w:ascii="Symbol" w:hAnsi="Symbol" w:hint="default"/>
        <w:color w:val="auto"/>
        <w:position w:val="2"/>
        <w:sz w:val="14"/>
      </w:rPr>
    </w:lvl>
    <w:lvl w:ilvl="5">
      <w:start w:val="1"/>
      <w:numFmt w:val="none"/>
      <w:lvlText w:val=""/>
      <w:lvlJc w:val="left"/>
      <w:pPr>
        <w:ind w:left="187" w:hanging="187"/>
      </w:pPr>
      <w:rPr>
        <w:rFonts w:hint="default"/>
      </w:rPr>
    </w:lvl>
    <w:lvl w:ilvl="6">
      <w:start w:val="1"/>
      <w:numFmt w:val="none"/>
      <w:lvlText w:val="%7"/>
      <w:lvlJc w:val="left"/>
      <w:pPr>
        <w:ind w:left="187" w:hanging="187"/>
      </w:pPr>
      <w:rPr>
        <w:rFonts w:hint="default"/>
      </w:rPr>
    </w:lvl>
    <w:lvl w:ilvl="7">
      <w:start w:val="1"/>
      <w:numFmt w:val="none"/>
      <w:lvlText w:val="%8"/>
      <w:lvlJc w:val="left"/>
      <w:pPr>
        <w:ind w:left="187" w:hanging="187"/>
      </w:pPr>
      <w:rPr>
        <w:rFonts w:hint="default"/>
      </w:rPr>
    </w:lvl>
    <w:lvl w:ilvl="8">
      <w:start w:val="1"/>
      <w:numFmt w:val="none"/>
      <w:lvlText w:val="%9"/>
      <w:lvlJc w:val="left"/>
      <w:pPr>
        <w:ind w:left="187" w:hanging="187"/>
      </w:pPr>
      <w:rPr>
        <w:rFonts w:hint="default"/>
      </w:rPr>
    </w:lvl>
  </w:abstractNum>
  <w:abstractNum w:abstractNumId="15" w15:restartNumberingAfterBreak="0">
    <w:nsid w:val="6E463109"/>
    <w:multiLevelType w:val="hybridMultilevel"/>
    <w:tmpl w:val="CD14F4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0194D51"/>
    <w:multiLevelType w:val="hybridMultilevel"/>
    <w:tmpl w:val="AD8A0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2F57483"/>
    <w:multiLevelType w:val="hybridMultilevel"/>
    <w:tmpl w:val="3A96EEA0"/>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79143A93"/>
    <w:multiLevelType w:val="multilevel"/>
    <w:tmpl w:val="C86450CC"/>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9" w15:restartNumberingAfterBreak="0">
    <w:nsid w:val="7A5444A7"/>
    <w:multiLevelType w:val="hybridMultilevel"/>
    <w:tmpl w:val="E5CECD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D771DCD"/>
    <w:multiLevelType w:val="hybridMultilevel"/>
    <w:tmpl w:val="009CDF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0"/>
  </w:num>
  <w:num w:numId="5">
    <w:abstractNumId w:val="10"/>
  </w:num>
  <w:num w:numId="6">
    <w:abstractNumId w:val="20"/>
  </w:num>
  <w:num w:numId="7">
    <w:abstractNumId w:val="16"/>
  </w:num>
  <w:num w:numId="8">
    <w:abstractNumId w:val="11"/>
  </w:num>
  <w:num w:numId="9">
    <w:abstractNumId w:val="6"/>
  </w:num>
  <w:num w:numId="10">
    <w:abstractNumId w:val="15"/>
  </w:num>
  <w:num w:numId="11">
    <w:abstractNumId w:val="19"/>
  </w:num>
  <w:num w:numId="12">
    <w:abstractNumId w:val="2"/>
  </w:num>
  <w:num w:numId="13">
    <w:abstractNumId w:val="5"/>
  </w:num>
  <w:num w:numId="14">
    <w:abstractNumId w:val="3"/>
  </w:num>
  <w:num w:numId="15">
    <w:abstractNumId w:val="18"/>
  </w:num>
  <w:num w:numId="16">
    <w:abstractNumId w:val="7"/>
  </w:num>
  <w:num w:numId="17">
    <w:abstractNumId w:val="4"/>
  </w:num>
  <w:num w:numId="18">
    <w:abstractNumId w:val="8"/>
  </w:num>
  <w:num w:numId="19">
    <w:abstractNumId w:val="12"/>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2F"/>
    <w:rsid w:val="0000336E"/>
    <w:rsid w:val="00006BC2"/>
    <w:rsid w:val="00042E9E"/>
    <w:rsid w:val="00045F12"/>
    <w:rsid w:val="00066C78"/>
    <w:rsid w:val="00076190"/>
    <w:rsid w:val="00076216"/>
    <w:rsid w:val="00080889"/>
    <w:rsid w:val="000829AC"/>
    <w:rsid w:val="0009045E"/>
    <w:rsid w:val="00093A85"/>
    <w:rsid w:val="000D09B0"/>
    <w:rsid w:val="000D3A07"/>
    <w:rsid w:val="000D6F4A"/>
    <w:rsid w:val="000F571A"/>
    <w:rsid w:val="001338FE"/>
    <w:rsid w:val="00194988"/>
    <w:rsid w:val="00195861"/>
    <w:rsid w:val="001A4CC0"/>
    <w:rsid w:val="001B1C07"/>
    <w:rsid w:val="001E7C23"/>
    <w:rsid w:val="001F77C9"/>
    <w:rsid w:val="002251F0"/>
    <w:rsid w:val="002331BD"/>
    <w:rsid w:val="00244343"/>
    <w:rsid w:val="00246D18"/>
    <w:rsid w:val="002663BD"/>
    <w:rsid w:val="0026735C"/>
    <w:rsid w:val="00272669"/>
    <w:rsid w:val="00295ABC"/>
    <w:rsid w:val="002A4159"/>
    <w:rsid w:val="002E5A94"/>
    <w:rsid w:val="002F77B0"/>
    <w:rsid w:val="00305A77"/>
    <w:rsid w:val="00315A1A"/>
    <w:rsid w:val="00322790"/>
    <w:rsid w:val="00336509"/>
    <w:rsid w:val="00345B16"/>
    <w:rsid w:val="00357FE3"/>
    <w:rsid w:val="003914A4"/>
    <w:rsid w:val="003A11DD"/>
    <w:rsid w:val="003A5B13"/>
    <w:rsid w:val="003C4FBF"/>
    <w:rsid w:val="003D064F"/>
    <w:rsid w:val="003D5091"/>
    <w:rsid w:val="004371AE"/>
    <w:rsid w:val="00470F1D"/>
    <w:rsid w:val="004846F0"/>
    <w:rsid w:val="0049196F"/>
    <w:rsid w:val="004A1A0C"/>
    <w:rsid w:val="004A382A"/>
    <w:rsid w:val="004A5EBA"/>
    <w:rsid w:val="004B2351"/>
    <w:rsid w:val="004F2F0C"/>
    <w:rsid w:val="00502627"/>
    <w:rsid w:val="00520A82"/>
    <w:rsid w:val="0056216A"/>
    <w:rsid w:val="00566FF6"/>
    <w:rsid w:val="00572407"/>
    <w:rsid w:val="0058606D"/>
    <w:rsid w:val="005D0972"/>
    <w:rsid w:val="005D5BDE"/>
    <w:rsid w:val="005E10E4"/>
    <w:rsid w:val="005E6D6E"/>
    <w:rsid w:val="006051CB"/>
    <w:rsid w:val="00626661"/>
    <w:rsid w:val="006269C6"/>
    <w:rsid w:val="006324E5"/>
    <w:rsid w:val="006410F8"/>
    <w:rsid w:val="006477FA"/>
    <w:rsid w:val="006B1082"/>
    <w:rsid w:val="006D08E9"/>
    <w:rsid w:val="006E4A0C"/>
    <w:rsid w:val="006E7E74"/>
    <w:rsid w:val="007023D6"/>
    <w:rsid w:val="007239E9"/>
    <w:rsid w:val="007244E1"/>
    <w:rsid w:val="007548F6"/>
    <w:rsid w:val="00762310"/>
    <w:rsid w:val="00766A29"/>
    <w:rsid w:val="00774961"/>
    <w:rsid w:val="00774CA6"/>
    <w:rsid w:val="0077780F"/>
    <w:rsid w:val="00792D58"/>
    <w:rsid w:val="008229BB"/>
    <w:rsid w:val="0085552B"/>
    <w:rsid w:val="008763BD"/>
    <w:rsid w:val="00890AD6"/>
    <w:rsid w:val="008B0491"/>
    <w:rsid w:val="008B064C"/>
    <w:rsid w:val="008B2740"/>
    <w:rsid w:val="008B5954"/>
    <w:rsid w:val="008F0751"/>
    <w:rsid w:val="008F208D"/>
    <w:rsid w:val="00916ACC"/>
    <w:rsid w:val="00951DEB"/>
    <w:rsid w:val="00952A1B"/>
    <w:rsid w:val="0096435B"/>
    <w:rsid w:val="00991F35"/>
    <w:rsid w:val="009A0657"/>
    <w:rsid w:val="009A55F2"/>
    <w:rsid w:val="009A7367"/>
    <w:rsid w:val="009B5E0A"/>
    <w:rsid w:val="00A0546C"/>
    <w:rsid w:val="00A0676D"/>
    <w:rsid w:val="00A10D98"/>
    <w:rsid w:val="00A23EFA"/>
    <w:rsid w:val="00A257CF"/>
    <w:rsid w:val="00A310D5"/>
    <w:rsid w:val="00A46A75"/>
    <w:rsid w:val="00A51FF4"/>
    <w:rsid w:val="00A54DE4"/>
    <w:rsid w:val="00AB4545"/>
    <w:rsid w:val="00AB496A"/>
    <w:rsid w:val="00AC0164"/>
    <w:rsid w:val="00AC6B31"/>
    <w:rsid w:val="00AE1B32"/>
    <w:rsid w:val="00AE6394"/>
    <w:rsid w:val="00B265DB"/>
    <w:rsid w:val="00B427B9"/>
    <w:rsid w:val="00B473F6"/>
    <w:rsid w:val="00B73CC0"/>
    <w:rsid w:val="00B81C10"/>
    <w:rsid w:val="00B9502D"/>
    <w:rsid w:val="00B95A70"/>
    <w:rsid w:val="00BA6885"/>
    <w:rsid w:val="00BD090E"/>
    <w:rsid w:val="00C03946"/>
    <w:rsid w:val="00C4215A"/>
    <w:rsid w:val="00C43293"/>
    <w:rsid w:val="00C4655E"/>
    <w:rsid w:val="00C47989"/>
    <w:rsid w:val="00C573C3"/>
    <w:rsid w:val="00CA170D"/>
    <w:rsid w:val="00CA5516"/>
    <w:rsid w:val="00CA7DAC"/>
    <w:rsid w:val="00D23FCC"/>
    <w:rsid w:val="00D50F76"/>
    <w:rsid w:val="00D52126"/>
    <w:rsid w:val="00D60AF7"/>
    <w:rsid w:val="00D94488"/>
    <w:rsid w:val="00DA61B5"/>
    <w:rsid w:val="00DD4AC5"/>
    <w:rsid w:val="00DD6FC2"/>
    <w:rsid w:val="00DE4B87"/>
    <w:rsid w:val="00DF4880"/>
    <w:rsid w:val="00E202AF"/>
    <w:rsid w:val="00E21F3D"/>
    <w:rsid w:val="00E83463"/>
    <w:rsid w:val="00E87E2F"/>
    <w:rsid w:val="00E90840"/>
    <w:rsid w:val="00E9752B"/>
    <w:rsid w:val="00EA3C24"/>
    <w:rsid w:val="00EB37DE"/>
    <w:rsid w:val="00EB3A79"/>
    <w:rsid w:val="00EC64C3"/>
    <w:rsid w:val="00EE4754"/>
    <w:rsid w:val="00EF1A40"/>
    <w:rsid w:val="00F02CA5"/>
    <w:rsid w:val="00F32675"/>
    <w:rsid w:val="00F41436"/>
    <w:rsid w:val="00F55D60"/>
    <w:rsid w:val="00F66381"/>
    <w:rsid w:val="00F94129"/>
    <w:rsid w:val="00FA2A21"/>
    <w:rsid w:val="00FA4F31"/>
    <w:rsid w:val="00FB7A24"/>
    <w:rsid w:val="00FC34D0"/>
    <w:rsid w:val="00FD76A5"/>
    <w:rsid w:val="00FD7BC7"/>
    <w:rsid w:val="00FE26CC"/>
    <w:rsid w:val="00FE69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A62D4"/>
  <w15:docId w15:val="{A35FDAED-D330-419B-9F21-DB23482A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4C3"/>
  </w:style>
  <w:style w:type="paragraph" w:styleId="Ttulo2">
    <w:name w:val="heading 2"/>
    <w:basedOn w:val="Normal"/>
    <w:link w:val="Ttulo2Car"/>
    <w:uiPriority w:val="9"/>
    <w:qFormat/>
    <w:rsid w:val="00EC64C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EC64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C64C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C64C3"/>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EC64C3"/>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EC64C3"/>
    <w:rPr>
      <w:rFonts w:asciiTheme="majorHAnsi" w:eastAsiaTheme="majorEastAsia" w:hAnsiTheme="majorHAnsi" w:cstheme="majorBidi"/>
      <w:i/>
      <w:iCs/>
      <w:color w:val="2E74B5" w:themeColor="accent1" w:themeShade="BF"/>
    </w:rPr>
  </w:style>
  <w:style w:type="character" w:styleId="Textoennegrita">
    <w:name w:val="Strong"/>
    <w:basedOn w:val="Fuentedeprrafopredeter"/>
    <w:uiPriority w:val="22"/>
    <w:qFormat/>
    <w:rsid w:val="00EC64C3"/>
    <w:rPr>
      <w:b/>
      <w:bCs/>
    </w:rPr>
  </w:style>
  <w:style w:type="paragraph" w:styleId="Prrafodelista">
    <w:name w:val="List Paragraph"/>
    <w:basedOn w:val="Normal"/>
    <w:uiPriority w:val="34"/>
    <w:qFormat/>
    <w:rsid w:val="00EC64C3"/>
    <w:pPr>
      <w:ind w:left="720"/>
      <w:contextualSpacing/>
    </w:pPr>
  </w:style>
  <w:style w:type="character" w:styleId="Hipervnculo">
    <w:name w:val="Hyperlink"/>
    <w:basedOn w:val="Fuentedeprrafopredeter"/>
    <w:uiPriority w:val="99"/>
    <w:unhideWhenUsed/>
    <w:rsid w:val="00916ACC"/>
    <w:rPr>
      <w:color w:val="0563C1" w:themeColor="hyperlink"/>
      <w:u w:val="single"/>
    </w:rPr>
  </w:style>
  <w:style w:type="paragraph" w:customStyle="1" w:styleId="HPIbulletedtext">
    <w:name w:val="HPI bulleted text"/>
    <w:basedOn w:val="Normal"/>
    <w:qFormat/>
    <w:rsid w:val="0009045E"/>
    <w:pPr>
      <w:numPr>
        <w:numId w:val="2"/>
      </w:numPr>
      <w:tabs>
        <w:tab w:val="left" w:pos="360"/>
      </w:tabs>
      <w:spacing w:after="80" w:line="252" w:lineRule="auto"/>
      <w:ind w:right="1260"/>
    </w:pPr>
    <w:rPr>
      <w:rFonts w:ascii="HP Simplified Light" w:hAnsi="HP Simplified Light"/>
      <w:sz w:val="20"/>
      <w:lang w:val="en-US"/>
    </w:rPr>
  </w:style>
  <w:style w:type="numbering" w:customStyle="1" w:styleId="bulletedlist">
    <w:name w:val="bulleted list"/>
    <w:uiPriority w:val="99"/>
    <w:rsid w:val="0009045E"/>
    <w:pPr>
      <w:numPr>
        <w:numId w:val="1"/>
      </w:numPr>
    </w:pPr>
  </w:style>
  <w:style w:type="paragraph" w:styleId="Encabezado">
    <w:name w:val="header"/>
    <w:basedOn w:val="Normal"/>
    <w:link w:val="EncabezadoCar"/>
    <w:uiPriority w:val="99"/>
    <w:unhideWhenUsed/>
    <w:rsid w:val="00B73C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CC0"/>
  </w:style>
  <w:style w:type="paragraph" w:styleId="Piedepgina">
    <w:name w:val="footer"/>
    <w:basedOn w:val="Normal"/>
    <w:link w:val="PiedepginaCar"/>
    <w:uiPriority w:val="99"/>
    <w:unhideWhenUsed/>
    <w:rsid w:val="00B73C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3CC0"/>
  </w:style>
  <w:style w:type="paragraph" w:styleId="Textodeglobo">
    <w:name w:val="Balloon Text"/>
    <w:basedOn w:val="Normal"/>
    <w:link w:val="TextodegloboCar"/>
    <w:uiPriority w:val="99"/>
    <w:semiHidden/>
    <w:unhideWhenUsed/>
    <w:rsid w:val="00B73C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3CC0"/>
    <w:rPr>
      <w:rFonts w:ascii="Tahoma" w:hAnsi="Tahoma" w:cs="Tahoma"/>
      <w:sz w:val="16"/>
      <w:szCs w:val="16"/>
    </w:rPr>
  </w:style>
  <w:style w:type="paragraph" w:customStyle="1" w:styleId="Default">
    <w:name w:val="Default"/>
    <w:rsid w:val="004A382A"/>
    <w:pPr>
      <w:autoSpaceDE w:val="0"/>
      <w:autoSpaceDN w:val="0"/>
      <w:adjustRightInd w:val="0"/>
      <w:spacing w:after="0" w:line="240" w:lineRule="auto"/>
    </w:pPr>
    <w:rPr>
      <w:rFonts w:ascii="Arial" w:hAnsi="Arial" w:cs="Arial"/>
      <w:color w:val="000000"/>
      <w:sz w:val="24"/>
      <w:szCs w:val="24"/>
      <w:lang w:val="en-GB"/>
    </w:rPr>
  </w:style>
  <w:style w:type="paragraph" w:styleId="Revisin">
    <w:name w:val="Revision"/>
    <w:hidden/>
    <w:uiPriority w:val="99"/>
    <w:semiHidden/>
    <w:rsid w:val="00305A77"/>
    <w:pPr>
      <w:spacing w:after="0" w:line="240" w:lineRule="auto"/>
    </w:pPr>
  </w:style>
  <w:style w:type="paragraph" w:customStyle="1" w:styleId="m2088021667970600534m-9115882795146298339m-187725139487442637m7316143191831083910m5777651873630994565m-7093995370815971887xmsonormal">
    <w:name w:val="m2088021667970600534m-9115882795146298339m-187725139487442637m7316143191831083910m5777651873630994565m-7093995370815971887xmsonormal"/>
    <w:basedOn w:val="Normal"/>
    <w:uiPriority w:val="99"/>
    <w:rsid w:val="00E9752B"/>
    <w:pPr>
      <w:spacing w:before="100" w:beforeAutospacing="1" w:after="100" w:afterAutospacing="1" w:line="240" w:lineRule="auto"/>
    </w:pPr>
    <w:rPr>
      <w:rFonts w:ascii="Times New Roman" w:hAnsi="Times New Roman" w:cs="Times New Roman"/>
      <w:sz w:val="24"/>
      <w:szCs w:val="24"/>
      <w:lang w:eastAsia="es-ES"/>
    </w:rPr>
  </w:style>
  <w:style w:type="paragraph" w:customStyle="1" w:styleId="BasicParagraph">
    <w:name w:val="[Basic Paragraph]"/>
    <w:basedOn w:val="Normal"/>
    <w:uiPriority w:val="99"/>
    <w:rsid w:val="002E5A94"/>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character" w:customStyle="1" w:styleId="general">
    <w:name w:val="general"/>
    <w:uiPriority w:val="99"/>
    <w:rsid w:val="002E5A94"/>
    <w:rPr>
      <w:rFonts w:ascii="Exo 2 Light" w:hAnsi="Exo 2 Light" w:cs="Exo 2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551808">
      <w:bodyDiv w:val="1"/>
      <w:marLeft w:val="0"/>
      <w:marRight w:val="0"/>
      <w:marTop w:val="0"/>
      <w:marBottom w:val="0"/>
      <w:divBdr>
        <w:top w:val="none" w:sz="0" w:space="0" w:color="auto"/>
        <w:left w:val="none" w:sz="0" w:space="0" w:color="auto"/>
        <w:bottom w:val="none" w:sz="0" w:space="0" w:color="auto"/>
        <w:right w:val="none" w:sz="0" w:space="0" w:color="auto"/>
      </w:divBdr>
    </w:div>
    <w:div w:id="1098140881">
      <w:bodyDiv w:val="1"/>
      <w:marLeft w:val="0"/>
      <w:marRight w:val="0"/>
      <w:marTop w:val="0"/>
      <w:marBottom w:val="0"/>
      <w:divBdr>
        <w:top w:val="none" w:sz="0" w:space="0" w:color="auto"/>
        <w:left w:val="none" w:sz="0" w:space="0" w:color="auto"/>
        <w:bottom w:val="none" w:sz="0" w:space="0" w:color="auto"/>
        <w:right w:val="none" w:sz="0" w:space="0" w:color="auto"/>
      </w:divBdr>
    </w:div>
    <w:div w:id="1396391623">
      <w:bodyDiv w:val="1"/>
      <w:marLeft w:val="0"/>
      <w:marRight w:val="0"/>
      <w:marTop w:val="0"/>
      <w:marBottom w:val="0"/>
      <w:divBdr>
        <w:top w:val="none" w:sz="0" w:space="0" w:color="auto"/>
        <w:left w:val="none" w:sz="0" w:space="0" w:color="auto"/>
        <w:bottom w:val="none" w:sz="0" w:space="0" w:color="auto"/>
        <w:right w:val="none" w:sz="0" w:space="0" w:color="auto"/>
      </w:divBdr>
    </w:div>
    <w:div w:id="15628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728</Words>
  <Characters>4007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Berruguete</dc:creator>
  <cp:keywords/>
  <dc:description/>
  <cp:lastModifiedBy>Report Comunicación</cp:lastModifiedBy>
  <cp:revision>4</cp:revision>
  <cp:lastPrinted>2018-11-12T11:54:00Z</cp:lastPrinted>
  <dcterms:created xsi:type="dcterms:W3CDTF">2018-11-15T16:52:00Z</dcterms:created>
  <dcterms:modified xsi:type="dcterms:W3CDTF">2018-11-19T09:17:00Z</dcterms:modified>
</cp:coreProperties>
</file>